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丰2024-27-1号、丰2023-23号</w:t>
      </w:r>
      <w:r>
        <w:rPr>
          <w:rFonts w:ascii="Times New Roman" w:eastAsia="方正小标宋简体"/>
          <w:bCs/>
          <w:color w:val="auto"/>
          <w:sz w:val="44"/>
          <w:szCs w:val="44"/>
        </w:rPr>
        <w:t>地块国有</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建设用地使用权拍卖出让须知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丰2024-27-1号、丰2023-23号地块国有建设用地使用权。</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人的确认。拍卖出让过程委托公证机构进行公证。泉州市产权交易中心有限公司指定的从事拍卖活动的人员为拍卖工作人员。</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二、拍卖出让活动时间、地点</w:t>
      </w:r>
    </w:p>
    <w:p>
      <w:pPr>
        <w:widowControl/>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拍卖时间：202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hAnsi="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hAnsi="仿宋_GB2312" w:cs="仿宋_GB2312"/>
          <w:color w:val="auto"/>
          <w:sz w:val="32"/>
          <w:szCs w:val="32"/>
          <w:lang w:val="en-US" w:eastAsia="zh-CN"/>
        </w:rPr>
        <w:t>11</w:t>
      </w:r>
      <w:r>
        <w:rPr>
          <w:rFonts w:hint="eastAsia" w:ascii="仿宋_GB2312" w:hAnsi="仿宋_GB2312" w:eastAsia="仿宋_GB2312" w:cs="仿宋_GB2312"/>
          <w:color w:val="auto"/>
          <w:sz w:val="32"/>
          <w:szCs w:val="32"/>
        </w:rPr>
        <w:t>日9：00。</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拍卖地点：泉州市政务服务中心（东海大厦）A幢442室（地址：泉州市丰泽区海星街100号）。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三、本次国有建设用地使用权拍卖出让按照价高者得的原则确定竞得人，不设保留价。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四、出让地块的基本情况、规划指标和相关要求：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（一）地块的基本情况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eastAsia="仿宋_GB2312"/>
          <w:color w:val="auto"/>
          <w:sz w:val="32"/>
          <w:szCs w:val="32"/>
        </w:rPr>
      </w:pPr>
      <w:r>
        <w:rPr>
          <w:rFonts w:hint="eastAsia" w:eastAsia="楷体_GB2312"/>
          <w:b/>
          <w:sz w:val="32"/>
          <w:szCs w:val="32"/>
          <w:lang w:val="en-US" w:eastAsia="zh-CN"/>
        </w:rPr>
        <w:t>1.</w:t>
      </w:r>
      <w:r>
        <w:rPr>
          <w:rFonts w:hint="eastAsia" w:eastAsia="楷体_GB2312"/>
          <w:b/>
          <w:sz w:val="32"/>
          <w:szCs w:val="32"/>
        </w:rPr>
        <w:t>丰2024-27-1号地块</w:t>
      </w:r>
      <w:r>
        <w:rPr>
          <w:rFonts w:eastAsia="楷体_GB2312"/>
          <w:b/>
          <w:sz w:val="32"/>
          <w:szCs w:val="32"/>
        </w:rPr>
        <w:t>。</w:t>
      </w:r>
      <w:r>
        <w:rPr>
          <w:rFonts w:eastAsia="仿宋_GB2312"/>
          <w:sz w:val="32"/>
          <w:szCs w:val="32"/>
        </w:rPr>
        <w:t>该宗</w:t>
      </w:r>
      <w:r>
        <w:rPr>
          <w:rFonts w:eastAsia="仿宋_GB2312"/>
          <w:color w:val="auto"/>
          <w:sz w:val="32"/>
          <w:szCs w:val="32"/>
        </w:rPr>
        <w:t>地即</w:t>
      </w:r>
      <w:r>
        <w:rPr>
          <w:rFonts w:hint="eastAsia" w:eastAsia="仿宋_GB2312"/>
          <w:color w:val="auto"/>
          <w:sz w:val="32"/>
          <w:szCs w:val="32"/>
          <w:lang w:val="en-US" w:eastAsia="zh-CN"/>
        </w:rPr>
        <w:t>2025-2号</w:t>
      </w:r>
      <w:r>
        <w:rPr>
          <w:rFonts w:eastAsia="仿宋_GB2312"/>
          <w:color w:val="auto"/>
          <w:sz w:val="32"/>
          <w:szCs w:val="32"/>
        </w:rPr>
        <w:t>储备用地，</w:t>
      </w:r>
      <w:r>
        <w:rPr>
          <w:rFonts w:ascii="Times New Roman" w:hAnsi="Times New Roman" w:eastAsia="仿宋_GB2312" w:cs="Times New Roman"/>
          <w:color w:val="auto"/>
          <w:sz w:val="32"/>
          <w:szCs w:val="32"/>
        </w:rPr>
        <w:t>位于</w:t>
      </w:r>
      <w:r>
        <w:rPr>
          <w:rFonts w:hint="eastAsia" w:ascii="Times New Roman" w:hAnsi="Times New Roman" w:eastAsia="仿宋_GB2312" w:cs="Times New Roman"/>
          <w:color w:val="auto"/>
          <w:sz w:val="32"/>
          <w:szCs w:val="32"/>
          <w:lang w:eastAsia="zh-CN"/>
        </w:rPr>
        <w:t>丰泽区金崎片区经十四路东侧、纬五路北侧</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用</w:t>
      </w:r>
      <w:r>
        <w:rPr>
          <w:rFonts w:eastAsia="仿宋_GB2312"/>
          <w:color w:val="auto"/>
          <w:sz w:val="32"/>
          <w:szCs w:val="32"/>
        </w:rPr>
        <w:t>地面积</w:t>
      </w:r>
      <w:r>
        <w:rPr>
          <w:rFonts w:hint="eastAsia" w:eastAsia="仿宋"/>
          <w:color w:val="000000"/>
          <w:sz w:val="32"/>
          <w:szCs w:val="32"/>
          <w:lang w:val="zh-CN"/>
        </w:rPr>
        <w:t>34505.64平方米（约合</w:t>
      </w:r>
      <w:r>
        <w:rPr>
          <w:rFonts w:hint="eastAsia" w:eastAsia="仿宋"/>
          <w:color w:val="000000"/>
          <w:sz w:val="32"/>
          <w:szCs w:val="32"/>
          <w:lang w:val="en-US" w:eastAsia="zh-CN"/>
        </w:rPr>
        <w:t>51.76</w:t>
      </w:r>
      <w:r>
        <w:rPr>
          <w:rFonts w:hint="eastAsia" w:eastAsia="仿宋"/>
          <w:color w:val="000000"/>
          <w:sz w:val="32"/>
          <w:szCs w:val="32"/>
          <w:lang w:val="zh-CN"/>
        </w:rPr>
        <w:t>亩）</w:t>
      </w:r>
      <w:r>
        <w:rPr>
          <w:rFonts w:eastAsia="仿宋_GB2312"/>
          <w:bCs/>
          <w:color w:val="auto"/>
          <w:sz w:val="32"/>
          <w:szCs w:val="32"/>
          <w:lang w:val="zh-CN"/>
        </w:rPr>
        <w:t>。</w:t>
      </w:r>
      <w:r>
        <w:rPr>
          <w:rFonts w:eastAsia="仿宋_GB2312"/>
          <w:color w:val="auto"/>
          <w:sz w:val="32"/>
          <w:szCs w:val="32"/>
        </w:rPr>
        <w:t>规划用途为</w:t>
      </w:r>
      <w:r>
        <w:rPr>
          <w:rFonts w:hint="eastAsia" w:eastAsia="仿宋_GB2312"/>
          <w:color w:val="auto"/>
          <w:sz w:val="32"/>
          <w:szCs w:val="32"/>
          <w:lang w:eastAsia="zh-CN"/>
        </w:rPr>
        <w:t>二类</w:t>
      </w:r>
      <w:r>
        <w:rPr>
          <w:rFonts w:hint="eastAsia" w:eastAsia="仿宋"/>
          <w:color w:val="000000"/>
          <w:sz w:val="32"/>
          <w:szCs w:val="32"/>
        </w:rPr>
        <w:t>城镇住宅用地</w:t>
      </w:r>
      <w:r>
        <w:rPr>
          <w:rFonts w:eastAsia="仿宋_GB2312"/>
          <w:bCs/>
          <w:color w:val="auto"/>
          <w:sz w:val="32"/>
          <w:szCs w:val="32"/>
          <w:lang w:val="zh-CN"/>
        </w:rPr>
        <w:t>。</w:t>
      </w:r>
      <w:r>
        <w:rPr>
          <w:rFonts w:eastAsia="仿宋_GB2312"/>
          <w:color w:val="auto"/>
          <w:sz w:val="32"/>
          <w:szCs w:val="32"/>
        </w:rPr>
        <w:t>主要技术指标为：容积率</w:t>
      </w:r>
      <w:r>
        <w:rPr>
          <w:rFonts w:hint="eastAsia" w:eastAsia="仿宋_GB2312"/>
          <w:color w:val="auto"/>
          <w:sz w:val="32"/>
          <w:szCs w:val="32"/>
          <w:lang w:val="en-US" w:eastAsia="zh-CN"/>
        </w:rPr>
        <w:t>2.5</w:t>
      </w:r>
      <w:r>
        <w:rPr>
          <w:rFonts w:eastAsia="仿宋_GB2312"/>
          <w:color w:val="auto"/>
          <w:sz w:val="32"/>
          <w:szCs w:val="32"/>
        </w:rPr>
        <w:t>以下</w:t>
      </w:r>
      <w:r>
        <w:rPr>
          <w:rFonts w:hint="eastAsia"/>
          <w:color w:val="auto"/>
          <w:sz w:val="32"/>
          <w:szCs w:val="32"/>
          <w:lang w:val="en-US" w:eastAsia="zh-CN"/>
        </w:rPr>
        <w:t>1.0以上</w:t>
      </w:r>
      <w:r>
        <w:rPr>
          <w:rFonts w:eastAsia="仿宋_GB2312"/>
          <w:color w:val="auto"/>
          <w:sz w:val="32"/>
          <w:szCs w:val="32"/>
        </w:rPr>
        <w:t>，建筑密度</w:t>
      </w:r>
      <w:r>
        <w:rPr>
          <w:rFonts w:hint="eastAsia" w:eastAsia="仿宋_GB2312"/>
          <w:color w:val="auto"/>
          <w:sz w:val="32"/>
          <w:szCs w:val="32"/>
          <w:lang w:val="en-US" w:eastAsia="zh-CN"/>
        </w:rPr>
        <w:t>30</w:t>
      </w:r>
      <w:r>
        <w:rPr>
          <w:rFonts w:hint="eastAsia" w:eastAsia="仿宋_GB2312"/>
          <w:color w:val="auto"/>
          <w:sz w:val="32"/>
          <w:szCs w:val="32"/>
        </w:rPr>
        <w:t>%</w:t>
      </w:r>
      <w:r>
        <w:rPr>
          <w:rFonts w:eastAsia="仿宋_GB2312"/>
          <w:color w:val="auto"/>
          <w:sz w:val="32"/>
          <w:szCs w:val="32"/>
        </w:rPr>
        <w:t>以下，绿地率</w:t>
      </w:r>
      <w:r>
        <w:rPr>
          <w:rFonts w:hint="eastAsia" w:eastAsia="仿宋_GB2312"/>
          <w:color w:val="auto"/>
          <w:sz w:val="32"/>
          <w:szCs w:val="32"/>
          <w:lang w:val="en-US" w:eastAsia="zh-CN"/>
        </w:rPr>
        <w:t>30</w:t>
      </w:r>
      <w:r>
        <w:rPr>
          <w:rFonts w:hint="eastAsia" w:eastAsia="仿宋_GB2312"/>
          <w:color w:val="auto"/>
          <w:sz w:val="32"/>
          <w:szCs w:val="32"/>
        </w:rPr>
        <w:t>%</w:t>
      </w:r>
      <w:r>
        <w:rPr>
          <w:rFonts w:eastAsia="仿宋_GB2312"/>
          <w:color w:val="auto"/>
          <w:sz w:val="32"/>
          <w:szCs w:val="32"/>
        </w:rPr>
        <w:t>以上，建筑高度</w:t>
      </w:r>
      <w:r>
        <w:rPr>
          <w:rFonts w:hint="eastAsia" w:eastAsia="仿宋_GB2312"/>
          <w:color w:val="auto"/>
          <w:sz w:val="32"/>
          <w:szCs w:val="32"/>
          <w:lang w:val="en-US" w:eastAsia="zh-CN"/>
        </w:rPr>
        <w:t>80</w:t>
      </w:r>
      <w:r>
        <w:rPr>
          <w:rFonts w:eastAsia="仿宋_GB2312"/>
          <w:color w:val="auto"/>
          <w:sz w:val="32"/>
          <w:szCs w:val="32"/>
        </w:rPr>
        <w:t>米以下。</w:t>
      </w:r>
      <w:r>
        <w:rPr>
          <w:rFonts w:hint="eastAsia" w:eastAsia="仿宋_GB2312"/>
          <w:color w:val="auto"/>
          <w:sz w:val="32"/>
          <w:szCs w:val="32"/>
          <w:lang w:eastAsia="zh-CN"/>
        </w:rPr>
        <w:t>主要</w:t>
      </w:r>
      <w:r>
        <w:rPr>
          <w:rFonts w:eastAsia="仿宋_GB2312"/>
          <w:color w:val="auto"/>
          <w:sz w:val="32"/>
          <w:szCs w:val="32"/>
        </w:rPr>
        <w:t>建设内容为</w:t>
      </w:r>
      <w:r>
        <w:rPr>
          <w:rFonts w:hint="eastAsia" w:eastAsia="仿宋_GB2312"/>
          <w:color w:val="auto"/>
          <w:sz w:val="32"/>
          <w:szCs w:val="32"/>
          <w:lang w:eastAsia="zh-CN"/>
        </w:rPr>
        <w:t>住宅及其配套设施</w:t>
      </w:r>
      <w:r>
        <w:rPr>
          <w:rFonts w:hint="eastAsia"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eastAsia="仿宋_GB2312"/>
          <w:color w:val="000000"/>
          <w:sz w:val="32"/>
          <w:szCs w:val="32"/>
          <w:lang w:val="en-US"/>
        </w:rPr>
      </w:pPr>
      <w:r>
        <w:rPr>
          <w:rFonts w:hint="eastAsia" w:eastAsia="楷体_GB2312"/>
          <w:b/>
          <w:sz w:val="32"/>
          <w:szCs w:val="32"/>
          <w:lang w:val="en-US" w:eastAsia="zh-CN"/>
        </w:rPr>
        <w:t>2.</w:t>
      </w:r>
      <w:r>
        <w:rPr>
          <w:rFonts w:hint="eastAsia" w:eastAsia="楷体_GB2312"/>
          <w:b/>
          <w:sz w:val="32"/>
          <w:szCs w:val="32"/>
        </w:rPr>
        <w:t>丰2023-2</w:t>
      </w:r>
      <w:r>
        <w:rPr>
          <w:rFonts w:hint="eastAsia" w:eastAsia="楷体_GB2312"/>
          <w:b/>
          <w:sz w:val="32"/>
          <w:szCs w:val="32"/>
          <w:lang w:val="en-US" w:eastAsia="zh-CN"/>
        </w:rPr>
        <w:t>3</w:t>
      </w:r>
      <w:r>
        <w:rPr>
          <w:rFonts w:hint="eastAsia" w:eastAsia="楷体_GB2312"/>
          <w:b/>
          <w:sz w:val="32"/>
          <w:szCs w:val="32"/>
        </w:rPr>
        <w:t>号地块</w:t>
      </w:r>
      <w:r>
        <w:rPr>
          <w:rFonts w:hint="eastAsia" w:eastAsia="楷体_GB2312"/>
          <w:b/>
          <w:sz w:val="32"/>
          <w:szCs w:val="32"/>
          <w:lang w:eastAsia="zh-CN"/>
        </w:rPr>
        <w:t>。</w:t>
      </w:r>
      <w:r>
        <w:rPr>
          <w:rFonts w:eastAsia="仿宋_GB2312"/>
          <w:sz w:val="32"/>
          <w:szCs w:val="32"/>
        </w:rPr>
        <w:t>该宗</w:t>
      </w:r>
      <w:r>
        <w:rPr>
          <w:rFonts w:eastAsia="仿宋_GB2312"/>
          <w:color w:val="auto"/>
          <w:sz w:val="32"/>
          <w:szCs w:val="32"/>
        </w:rPr>
        <w:t>地即</w:t>
      </w:r>
      <w:r>
        <w:rPr>
          <w:rFonts w:hint="eastAsia" w:eastAsia="仿宋_GB2312"/>
          <w:color w:val="auto"/>
          <w:sz w:val="32"/>
          <w:szCs w:val="32"/>
          <w:lang w:val="en-US" w:eastAsia="zh-CN"/>
        </w:rPr>
        <w:t>2021-21号</w:t>
      </w:r>
      <w:r>
        <w:rPr>
          <w:rFonts w:eastAsia="仿宋_GB2312"/>
          <w:color w:val="auto"/>
          <w:sz w:val="32"/>
          <w:szCs w:val="32"/>
        </w:rPr>
        <w:t>储备用地，</w:t>
      </w:r>
      <w:r>
        <w:rPr>
          <w:rFonts w:ascii="Times New Roman" w:hAnsi="Times New Roman" w:eastAsia="仿宋_GB2312" w:cs="Times New Roman"/>
          <w:color w:val="auto"/>
          <w:sz w:val="32"/>
          <w:szCs w:val="32"/>
        </w:rPr>
        <w:t>位于</w:t>
      </w:r>
      <w:r>
        <w:rPr>
          <w:rFonts w:hint="eastAsia" w:ascii="Times New Roman" w:hAnsi="Times New Roman" w:eastAsia="仿宋_GB2312" w:cs="Times New Roman"/>
          <w:color w:val="auto"/>
          <w:sz w:val="32"/>
          <w:szCs w:val="32"/>
        </w:rPr>
        <w:t>丰泽区</w:t>
      </w:r>
      <w:r>
        <w:rPr>
          <w:rFonts w:hint="eastAsia" w:ascii="Times New Roman" w:hAnsi="Times New Roman" w:eastAsia="仿宋_GB2312" w:cs="Times New Roman"/>
          <w:color w:val="auto"/>
          <w:sz w:val="32"/>
          <w:szCs w:val="32"/>
          <w:lang w:eastAsia="zh-CN"/>
        </w:rPr>
        <w:t>南埔山</w:t>
      </w:r>
      <w:r>
        <w:rPr>
          <w:rFonts w:hint="eastAsia" w:ascii="Times New Roman" w:hAnsi="Times New Roman" w:eastAsia="仿宋_GB2312" w:cs="Times New Roman"/>
          <w:color w:val="auto"/>
          <w:sz w:val="32"/>
          <w:szCs w:val="32"/>
        </w:rPr>
        <w:t>片区</w:t>
      </w:r>
      <w:r>
        <w:rPr>
          <w:rFonts w:hint="eastAsia" w:ascii="Times New Roman" w:hAnsi="Times New Roman" w:eastAsia="仿宋_GB2312" w:cs="Times New Roman"/>
          <w:color w:val="auto"/>
          <w:sz w:val="32"/>
          <w:szCs w:val="32"/>
          <w:lang w:eastAsia="zh-CN"/>
        </w:rPr>
        <w:t>，北至顶荣路、西至毓才街、东至环山西路</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用</w:t>
      </w:r>
      <w:r>
        <w:rPr>
          <w:rFonts w:eastAsia="仿宋_GB2312"/>
          <w:color w:val="auto"/>
          <w:sz w:val="32"/>
          <w:szCs w:val="32"/>
        </w:rPr>
        <w:t>地面积</w:t>
      </w:r>
      <w:r>
        <w:rPr>
          <w:rFonts w:hint="eastAsia" w:eastAsia="仿宋_GB2312"/>
          <w:color w:val="auto"/>
          <w:sz w:val="32"/>
          <w:szCs w:val="32"/>
        </w:rPr>
        <w:t>28374.6</w:t>
      </w:r>
      <w:r>
        <w:rPr>
          <w:rFonts w:eastAsia="仿宋_GB2312"/>
          <w:bCs/>
          <w:color w:val="auto"/>
          <w:sz w:val="32"/>
          <w:szCs w:val="32"/>
          <w:lang w:val="zh-CN"/>
        </w:rPr>
        <w:t>平方米（</w:t>
      </w:r>
      <w:r>
        <w:rPr>
          <w:rFonts w:hint="eastAsia" w:eastAsia="仿宋_GB2312"/>
          <w:bCs/>
          <w:color w:val="auto"/>
          <w:sz w:val="32"/>
          <w:szCs w:val="32"/>
          <w:lang w:val="zh-CN"/>
        </w:rPr>
        <w:t>约合</w:t>
      </w:r>
      <w:r>
        <w:rPr>
          <w:rFonts w:hint="eastAsia" w:eastAsia="仿宋"/>
          <w:color w:val="auto"/>
          <w:sz w:val="32"/>
          <w:szCs w:val="32"/>
          <w:lang w:val="en-US" w:eastAsia="zh-CN"/>
        </w:rPr>
        <w:t>42.56</w:t>
      </w:r>
      <w:r>
        <w:rPr>
          <w:rFonts w:hint="eastAsia" w:eastAsia="仿宋_GB2312"/>
          <w:bCs/>
          <w:color w:val="auto"/>
          <w:sz w:val="32"/>
          <w:szCs w:val="32"/>
          <w:lang w:val="zh-CN"/>
        </w:rPr>
        <w:t>亩</w:t>
      </w:r>
      <w:r>
        <w:rPr>
          <w:rFonts w:eastAsia="仿宋_GB2312"/>
          <w:bCs/>
          <w:color w:val="auto"/>
          <w:sz w:val="32"/>
          <w:szCs w:val="32"/>
          <w:lang w:val="zh-CN"/>
        </w:rPr>
        <w:t>）。</w:t>
      </w:r>
      <w:r>
        <w:rPr>
          <w:rFonts w:hint="eastAsia" w:ascii="Times New Roman" w:hAnsi="Times New Roman" w:eastAsia="仿宋_GB2312" w:cs="Times New Roman"/>
          <w:color w:val="auto"/>
          <w:sz w:val="32"/>
          <w:szCs w:val="32"/>
          <w:lang w:eastAsia="zh-CN"/>
        </w:rPr>
        <w:t>规划用途为城镇住宅用地</w:t>
      </w:r>
      <w:r>
        <w:rPr>
          <w:rFonts w:eastAsia="仿宋_GB2312"/>
          <w:bCs/>
          <w:color w:val="auto"/>
          <w:sz w:val="32"/>
          <w:szCs w:val="32"/>
          <w:lang w:val="zh-CN"/>
        </w:rPr>
        <w:t>。</w:t>
      </w:r>
      <w:r>
        <w:rPr>
          <w:rFonts w:eastAsia="仿宋_GB2312"/>
          <w:color w:val="auto"/>
          <w:sz w:val="32"/>
          <w:szCs w:val="32"/>
        </w:rPr>
        <w:t>主要技术指标为：容积率</w:t>
      </w:r>
      <w:r>
        <w:rPr>
          <w:rFonts w:hint="eastAsia" w:eastAsia="仿宋_GB2312"/>
          <w:color w:val="auto"/>
          <w:sz w:val="32"/>
          <w:szCs w:val="32"/>
          <w:lang w:val="en-US" w:eastAsia="zh-CN"/>
        </w:rPr>
        <w:t>2.2</w:t>
      </w:r>
      <w:r>
        <w:rPr>
          <w:rFonts w:eastAsia="仿宋_GB2312"/>
          <w:color w:val="auto"/>
          <w:sz w:val="32"/>
          <w:szCs w:val="32"/>
        </w:rPr>
        <w:t>以下</w:t>
      </w:r>
      <w:r>
        <w:rPr>
          <w:rFonts w:hint="eastAsia" w:eastAsia="仿宋_GB2312"/>
          <w:color w:val="auto"/>
          <w:sz w:val="32"/>
          <w:szCs w:val="32"/>
          <w:lang w:val="en-US" w:eastAsia="zh-CN"/>
        </w:rPr>
        <w:t>1.0以上</w:t>
      </w:r>
      <w:r>
        <w:rPr>
          <w:rFonts w:eastAsia="仿宋_GB2312"/>
          <w:color w:val="auto"/>
          <w:sz w:val="32"/>
          <w:szCs w:val="32"/>
        </w:rPr>
        <w:t>，建筑密度</w:t>
      </w:r>
      <w:r>
        <w:rPr>
          <w:rFonts w:hint="eastAsia" w:eastAsia="仿宋_GB2312"/>
          <w:color w:val="auto"/>
          <w:sz w:val="32"/>
          <w:szCs w:val="32"/>
          <w:lang w:val="en-US" w:eastAsia="zh-CN"/>
        </w:rPr>
        <w:t>25</w:t>
      </w:r>
      <w:r>
        <w:rPr>
          <w:rFonts w:hint="eastAsia" w:eastAsia="仿宋_GB2312"/>
          <w:color w:val="auto"/>
          <w:sz w:val="32"/>
          <w:szCs w:val="32"/>
        </w:rPr>
        <w:t>%</w:t>
      </w:r>
      <w:r>
        <w:rPr>
          <w:rFonts w:eastAsia="仿宋_GB2312"/>
          <w:color w:val="auto"/>
          <w:sz w:val="32"/>
          <w:szCs w:val="32"/>
        </w:rPr>
        <w:t>以下，绿地率</w:t>
      </w:r>
      <w:r>
        <w:rPr>
          <w:rFonts w:hint="eastAsia" w:eastAsia="仿宋_GB2312"/>
          <w:color w:val="auto"/>
          <w:sz w:val="32"/>
          <w:szCs w:val="32"/>
          <w:lang w:val="en-US" w:eastAsia="zh-CN"/>
        </w:rPr>
        <w:t>30</w:t>
      </w:r>
      <w:r>
        <w:rPr>
          <w:rFonts w:hint="eastAsia" w:eastAsia="仿宋_GB2312"/>
          <w:color w:val="auto"/>
          <w:sz w:val="32"/>
          <w:szCs w:val="32"/>
        </w:rPr>
        <w:t>%</w:t>
      </w:r>
      <w:r>
        <w:rPr>
          <w:rFonts w:eastAsia="仿宋_GB2312"/>
          <w:color w:val="auto"/>
          <w:sz w:val="32"/>
          <w:szCs w:val="32"/>
        </w:rPr>
        <w:t>以上，</w:t>
      </w:r>
      <w:r>
        <w:rPr>
          <w:rFonts w:hint="eastAsia" w:eastAsia="仿宋_GB2312"/>
          <w:color w:val="auto"/>
          <w:sz w:val="32"/>
          <w:szCs w:val="32"/>
        </w:rPr>
        <w:t>建筑高度36米以下。</w:t>
      </w:r>
      <w:r>
        <w:rPr>
          <w:rFonts w:hint="eastAsia" w:eastAsia="仿宋_GB2312"/>
          <w:color w:val="auto"/>
          <w:sz w:val="32"/>
          <w:szCs w:val="32"/>
          <w:lang w:eastAsia="zh-CN"/>
        </w:rPr>
        <w:t>主要</w:t>
      </w:r>
      <w:r>
        <w:rPr>
          <w:rFonts w:eastAsia="仿宋_GB2312"/>
          <w:color w:val="auto"/>
          <w:sz w:val="32"/>
          <w:szCs w:val="32"/>
        </w:rPr>
        <w:t>建设内容为</w:t>
      </w:r>
      <w:r>
        <w:rPr>
          <w:rFonts w:hint="eastAsia" w:eastAsia="仿宋_GB2312"/>
          <w:color w:val="auto"/>
          <w:sz w:val="32"/>
          <w:szCs w:val="32"/>
          <w:lang w:eastAsia="zh-CN"/>
        </w:rPr>
        <w:t>住宅及商业等配套设施，其中商业计容建筑面积为</w:t>
      </w:r>
      <w:r>
        <w:rPr>
          <w:rFonts w:hint="eastAsia" w:eastAsia="仿宋_GB2312"/>
          <w:color w:val="auto"/>
          <w:sz w:val="32"/>
          <w:szCs w:val="32"/>
          <w:lang w:val="en-US" w:eastAsia="zh-CN"/>
        </w:rPr>
        <w:t>2000平方米。</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（二）规划指标和相关要求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地块竞买申请人须具有房地产开发资质。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丰202</w:t>
      </w:r>
      <w:r>
        <w:rPr>
          <w:rFonts w:hint="default" w:ascii="Times New Roman" w:hAnsi="Times New Roman" w:eastAsia="仿宋_GB2312" w:cs="Times New Roman"/>
          <w:color w:val="auto"/>
          <w:sz w:val="32"/>
          <w:szCs w:val="32"/>
          <w:lang w:val="en-US" w:eastAsia="zh-CN"/>
        </w:rPr>
        <w:t>4-27-1</w:t>
      </w:r>
      <w:r>
        <w:rPr>
          <w:rFonts w:hint="default" w:ascii="Times New Roman" w:hAnsi="Times New Roman" w:eastAsia="仿宋_GB2312" w:cs="Times New Roman"/>
          <w:color w:val="auto"/>
          <w:sz w:val="32"/>
          <w:szCs w:val="32"/>
        </w:rPr>
        <w:t>号地块竞得人须按有关规范要求配套建设相应的公共配套服务设施，包括：</w:t>
      </w:r>
      <w:r>
        <w:rPr>
          <w:rFonts w:hint="default" w:ascii="Times New Roman" w:hAnsi="Times New Roman" w:eastAsia="仿宋_GB2312" w:cs="Times New Roman"/>
          <w:color w:val="auto"/>
          <w:sz w:val="32"/>
          <w:szCs w:val="32"/>
          <w:lang w:eastAsia="zh-CN"/>
        </w:rPr>
        <w:t>社区综合服务用房、居家养老服务站、幼儿园及托育用房</w:t>
      </w:r>
      <w:r>
        <w:rPr>
          <w:rFonts w:hint="default" w:ascii="Times New Roman" w:hAnsi="Times New Roman" w:eastAsia="仿宋_GB2312" w:cs="Times New Roman"/>
          <w:color w:val="auto"/>
          <w:sz w:val="32"/>
          <w:szCs w:val="32"/>
        </w:rPr>
        <w:t>等设施[具体规划要求详见《泉州市自然资源和规划局关于下达</w:t>
      </w:r>
      <w:r>
        <w:rPr>
          <w:rFonts w:hint="default" w:ascii="Times New Roman" w:hAnsi="Times New Roman" w:eastAsia="仿宋_GB2312" w:cs="Times New Roman"/>
          <w:color w:val="auto"/>
          <w:sz w:val="32"/>
          <w:szCs w:val="32"/>
          <w:lang w:val="en-US" w:eastAsia="zh-CN"/>
        </w:rPr>
        <w:t>2025-2</w:t>
      </w:r>
      <w:r>
        <w:rPr>
          <w:rFonts w:hint="default" w:ascii="Times New Roman" w:hAnsi="Times New Roman" w:eastAsia="仿宋_GB2312" w:cs="Times New Roman"/>
          <w:color w:val="auto"/>
          <w:sz w:val="32"/>
          <w:szCs w:val="32"/>
        </w:rPr>
        <w:t>号储备用地规划条件的通知》（泉资规〔202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丰202</w:t>
      </w:r>
      <w:r>
        <w:rPr>
          <w:rFonts w:hint="default" w:ascii="Times New Roman" w:hAnsi="Times New Roman" w:eastAsia="仿宋_GB2312" w:cs="Times New Roman"/>
          <w:color w:val="auto"/>
          <w:sz w:val="32"/>
          <w:szCs w:val="32"/>
          <w:lang w:val="en-US" w:eastAsia="zh-CN"/>
        </w:rPr>
        <w:t>3-23</w:t>
      </w:r>
      <w:r>
        <w:rPr>
          <w:rFonts w:hint="default" w:ascii="Times New Roman" w:hAnsi="Times New Roman" w:eastAsia="仿宋_GB2312" w:cs="Times New Roman"/>
          <w:color w:val="auto"/>
          <w:sz w:val="32"/>
          <w:szCs w:val="32"/>
        </w:rPr>
        <w:t>号地块竞得人须按有关规范要求配套建设相应的公共配套服务设施，包括：</w:t>
      </w:r>
      <w:r>
        <w:rPr>
          <w:rFonts w:hint="default" w:ascii="Times New Roman" w:hAnsi="Times New Roman" w:eastAsia="仿宋_GB2312" w:cs="Times New Roman"/>
          <w:color w:val="auto"/>
          <w:sz w:val="32"/>
          <w:szCs w:val="32"/>
          <w:lang w:eastAsia="zh-CN"/>
        </w:rPr>
        <w:t>社区管理服务用房、社区医疗服务站、</w:t>
      </w:r>
      <w:r>
        <w:rPr>
          <w:rFonts w:hint="default" w:ascii="Times New Roman" w:hAnsi="Times New Roman" w:eastAsia="仿宋_GB2312" w:cs="Times New Roman"/>
          <w:color w:val="auto"/>
          <w:sz w:val="32"/>
          <w:szCs w:val="32"/>
        </w:rPr>
        <w:t>居家养老服务</w:t>
      </w:r>
      <w:r>
        <w:rPr>
          <w:rFonts w:hint="default" w:ascii="Times New Roman" w:hAnsi="Times New Roman" w:eastAsia="仿宋_GB2312" w:cs="Times New Roman"/>
          <w:color w:val="auto"/>
          <w:sz w:val="32"/>
          <w:szCs w:val="32"/>
          <w:lang w:eastAsia="zh-CN"/>
        </w:rPr>
        <w:t>站</w:t>
      </w:r>
      <w:r>
        <w:rPr>
          <w:rFonts w:hint="default" w:ascii="Times New Roman" w:hAnsi="Times New Roman" w:eastAsia="仿宋_GB2312" w:cs="Times New Roman"/>
          <w:color w:val="auto"/>
          <w:sz w:val="32"/>
          <w:szCs w:val="32"/>
        </w:rPr>
        <w:t>等设施[具体规划要求详见《泉州市自然资源和规划局关于下达</w:t>
      </w:r>
      <w:r>
        <w:rPr>
          <w:rFonts w:hint="default" w:ascii="Times New Roman" w:hAnsi="Times New Roman" w:eastAsia="仿宋_GB2312" w:cs="Times New Roman"/>
          <w:color w:val="auto"/>
          <w:sz w:val="32"/>
          <w:szCs w:val="32"/>
          <w:lang w:val="en-US" w:eastAsia="zh-CN"/>
        </w:rPr>
        <w:t>2021-21</w:t>
      </w:r>
      <w:r>
        <w:rPr>
          <w:rFonts w:hint="default" w:ascii="Times New Roman" w:hAnsi="Times New Roman" w:eastAsia="仿宋_GB2312" w:cs="Times New Roman"/>
          <w:color w:val="auto"/>
          <w:sz w:val="32"/>
          <w:szCs w:val="32"/>
        </w:rPr>
        <w:t>号储备用地规划条件的通知》（泉资规〔202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306</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丰</w:t>
      </w:r>
      <w:r>
        <w:rPr>
          <w:rFonts w:hint="default" w:ascii="Times New Roman" w:hAnsi="Times New Roman" w:eastAsia="仿宋_GB2312" w:cs="Times New Roman"/>
          <w:color w:val="auto"/>
          <w:sz w:val="32"/>
          <w:szCs w:val="32"/>
          <w:lang w:val="en-US" w:eastAsia="zh-CN"/>
        </w:rPr>
        <w:t>2023-23号</w:t>
      </w:r>
      <w:r>
        <w:rPr>
          <w:rFonts w:hint="default" w:ascii="Times New Roman" w:hAnsi="Times New Roman" w:eastAsia="仿宋_GB2312" w:cs="Times New Roman"/>
          <w:color w:val="auto"/>
          <w:sz w:val="32"/>
          <w:szCs w:val="32"/>
        </w:rPr>
        <w:t>地块竞得人应在与我局签订《国有建设用地使用权出让合同》之日起5个工作日内，与</w:t>
      </w:r>
      <w:r>
        <w:rPr>
          <w:rFonts w:hint="default" w:ascii="Times New Roman" w:hAnsi="Times New Roman" w:eastAsia="仿宋_GB2312" w:cs="Times New Roman"/>
          <w:color w:val="auto"/>
          <w:sz w:val="32"/>
          <w:szCs w:val="32"/>
          <w:lang w:eastAsia="zh-CN"/>
        </w:rPr>
        <w:t>泉州市丰泽丰泉商务区开发建设有限公司</w:t>
      </w:r>
      <w:r>
        <w:rPr>
          <w:rFonts w:hint="default" w:ascii="Times New Roman" w:hAnsi="Times New Roman" w:eastAsia="仿宋_GB2312" w:cs="Times New Roman"/>
          <w:color w:val="auto"/>
          <w:sz w:val="32"/>
          <w:szCs w:val="32"/>
        </w:rPr>
        <w:t>签订</w:t>
      </w:r>
      <w:r>
        <w:rPr>
          <w:rFonts w:hint="default" w:ascii="Times New Roman" w:hAnsi="Times New Roman" w:eastAsia="仿宋_GB2312" w:cs="Times New Roman"/>
          <w:color w:val="auto"/>
          <w:sz w:val="32"/>
          <w:szCs w:val="32"/>
          <w:lang w:val="en-US" w:eastAsia="zh-CN"/>
        </w:rPr>
        <w:t>安置型商品房</w:t>
      </w:r>
      <w:r>
        <w:rPr>
          <w:rFonts w:hint="default" w:ascii="Times New Roman" w:hAnsi="Times New Roman" w:eastAsia="仿宋_GB2312" w:cs="Times New Roman"/>
          <w:color w:val="auto"/>
          <w:sz w:val="32"/>
          <w:szCs w:val="32"/>
          <w:lang w:eastAsia="zh-CN"/>
        </w:rPr>
        <w:t>回购</w:t>
      </w:r>
      <w:r>
        <w:rPr>
          <w:rFonts w:hint="default" w:ascii="Times New Roman" w:hAnsi="Times New Roman" w:eastAsia="仿宋_GB2312" w:cs="Times New Roman"/>
          <w:color w:val="auto"/>
          <w:sz w:val="32"/>
          <w:szCs w:val="32"/>
        </w:rPr>
        <w:t>协议。</w:t>
      </w:r>
      <w:r>
        <w:rPr>
          <w:rFonts w:hint="default" w:ascii="Times New Roman" w:hAnsi="Times New Roman" w:eastAsia="仿宋_GB2312" w:cs="Times New Roman"/>
          <w:color w:val="auto"/>
          <w:sz w:val="32"/>
          <w:szCs w:val="32"/>
          <w:lang w:eastAsia="zh-CN"/>
        </w:rPr>
        <w:t>住宅、商业</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泉州市丰泽丰泉商务区开发建设有限公司</w:t>
      </w:r>
      <w:r>
        <w:rPr>
          <w:rFonts w:hint="default" w:ascii="Times New Roman" w:hAnsi="Times New Roman" w:eastAsia="仿宋_GB2312" w:cs="Times New Roman"/>
          <w:color w:val="auto"/>
          <w:sz w:val="32"/>
          <w:szCs w:val="32"/>
        </w:rPr>
        <w:t>全部</w:t>
      </w:r>
      <w:r>
        <w:rPr>
          <w:rFonts w:hint="default" w:ascii="Times New Roman" w:hAnsi="Times New Roman" w:eastAsia="仿宋_GB2312" w:cs="Times New Roman"/>
          <w:color w:val="auto"/>
          <w:sz w:val="32"/>
          <w:szCs w:val="32"/>
          <w:lang w:eastAsia="zh-CN"/>
        </w:rPr>
        <w:t>回购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住宅回购</w:t>
      </w:r>
      <w:r>
        <w:rPr>
          <w:rFonts w:hint="default" w:ascii="Times New Roman" w:hAnsi="Times New Roman" w:eastAsia="仿宋_GB2312" w:cs="Times New Roman"/>
          <w:color w:val="auto"/>
          <w:sz w:val="32"/>
          <w:szCs w:val="32"/>
        </w:rPr>
        <w:t>价为</w:t>
      </w:r>
      <w:r>
        <w:rPr>
          <w:rFonts w:hint="default" w:ascii="Times New Roman" w:hAnsi="Times New Roman" w:eastAsia="仿宋_GB2312" w:cs="Times New Roman"/>
          <w:color w:val="auto"/>
          <w:sz w:val="32"/>
          <w:szCs w:val="32"/>
          <w:lang w:val="en-US" w:eastAsia="zh-CN"/>
        </w:rPr>
        <w:t>6203</w:t>
      </w:r>
      <w:r>
        <w:rPr>
          <w:rFonts w:hint="default" w:ascii="Times New Roman" w:hAnsi="Times New Roman" w:eastAsia="仿宋_GB2312" w:cs="Times New Roman"/>
          <w:color w:val="auto"/>
          <w:sz w:val="32"/>
          <w:szCs w:val="32"/>
        </w:rPr>
        <w:t>元/平方米，</w:t>
      </w:r>
      <w:r>
        <w:rPr>
          <w:rFonts w:hint="default" w:ascii="Times New Roman" w:hAnsi="Times New Roman" w:eastAsia="仿宋_GB2312" w:cs="Times New Roman"/>
          <w:color w:val="auto"/>
          <w:sz w:val="32"/>
          <w:szCs w:val="32"/>
          <w:lang w:eastAsia="zh-CN"/>
        </w:rPr>
        <w:t>商业回购价为</w:t>
      </w:r>
      <w:r>
        <w:rPr>
          <w:rFonts w:hint="default" w:ascii="Times New Roman" w:hAnsi="Times New Roman" w:eastAsia="仿宋_GB2312" w:cs="Times New Roman"/>
          <w:color w:val="auto"/>
          <w:sz w:val="32"/>
          <w:szCs w:val="32"/>
          <w:lang w:val="en-US" w:eastAsia="zh-CN"/>
        </w:rPr>
        <w:t>4000</w:t>
      </w:r>
      <w:r>
        <w:rPr>
          <w:rFonts w:hint="default" w:ascii="Times New Roman" w:hAnsi="Times New Roman" w:eastAsia="仿宋_GB2312" w:cs="Times New Roman"/>
          <w:color w:val="auto"/>
          <w:sz w:val="32"/>
          <w:szCs w:val="32"/>
        </w:rPr>
        <w:t>元/平方</w:t>
      </w:r>
      <w:r>
        <w:rPr>
          <w:rFonts w:hint="default" w:ascii="Times New Roman" w:hAnsi="Times New Roman" w:eastAsia="仿宋_GB2312" w:cs="Times New Roman"/>
          <w:color w:val="auto"/>
          <w:sz w:val="32"/>
          <w:szCs w:val="32"/>
          <w:lang w:eastAsia="zh-CN"/>
        </w:rPr>
        <w:t>米；地下室停车位回购</w:t>
      </w:r>
      <w:r>
        <w:rPr>
          <w:rFonts w:hint="default" w:ascii="Times New Roman" w:hAnsi="Times New Roman" w:eastAsia="仿宋_GB2312" w:cs="Times New Roman"/>
          <w:color w:val="auto"/>
          <w:sz w:val="32"/>
          <w:szCs w:val="32"/>
          <w:lang w:val="en-US" w:eastAsia="zh-CN"/>
        </w:rPr>
        <w:t>300个，车位回购</w:t>
      </w:r>
      <w:r>
        <w:rPr>
          <w:rFonts w:hint="default" w:ascii="Times New Roman" w:hAnsi="Times New Roman" w:eastAsia="仿宋_GB2312" w:cs="Times New Roman"/>
          <w:color w:val="auto"/>
          <w:sz w:val="32"/>
          <w:szCs w:val="32"/>
          <w:lang w:eastAsia="zh-CN"/>
        </w:rPr>
        <w:t>价为1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万元/个，并待完成全部安置回购后方可对外销售。</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5.丰2023-23号地块配套商业建筑不可分割销售、不可分割转让。</w:t>
      </w:r>
    </w:p>
    <w:p>
      <w:pPr>
        <w:widowControl/>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6.丰2024-27-1号地块相邻北侧800米内规划有一所区级初中学校，北侧900米内已规划建设有泉州师范学院第二附属小学。</w:t>
      </w:r>
      <w:r>
        <w:rPr>
          <w:rFonts w:hint="default" w:ascii="Times New Roman" w:hAnsi="Times New Roman" w:eastAsia="仿宋_GB2312" w:cs="Times New Roman"/>
          <w:color w:val="auto"/>
          <w:sz w:val="32"/>
          <w:szCs w:val="32"/>
        </w:rPr>
        <w:t>关于学区划分事宜，需待当年度片区摸底生源数，并结合新建学校投用情况后确定，具体以当年度的招生政策为准。</w:t>
      </w:r>
    </w:p>
    <w:p>
      <w:pPr>
        <w:widowControl/>
        <w:spacing w:line="560" w:lineRule="exact"/>
        <w:ind w:firstLine="640" w:firstLineChars="200"/>
        <w:rPr>
          <w:rFonts w:hint="default" w:ascii="Times New Roman" w:hAnsi="Times New Roman" w:eastAsia="仿宋_GB2312" w:cs="Times New Roman"/>
          <w:color w:val="auto"/>
          <w:sz w:val="32"/>
          <w:szCs w:val="48"/>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.丰2024-27-1号</w:t>
      </w:r>
      <w:r>
        <w:rPr>
          <w:rFonts w:hint="default" w:ascii="Times New Roman" w:hAnsi="Times New Roman" w:eastAsia="仿宋_GB2312" w:cs="Times New Roman"/>
          <w:color w:val="auto"/>
          <w:sz w:val="32"/>
          <w:szCs w:val="48"/>
          <w:lang w:val="en-US" w:eastAsia="zh-CN"/>
        </w:rPr>
        <w:t>地块</w:t>
      </w:r>
      <w:r>
        <w:rPr>
          <w:rFonts w:hint="default" w:ascii="Times New Roman" w:hAnsi="Times New Roman" w:eastAsia="仿宋_GB2312" w:cs="Times New Roman"/>
          <w:color w:val="auto"/>
          <w:sz w:val="32"/>
          <w:szCs w:val="48"/>
          <w:lang w:eastAsia="zh-CN"/>
        </w:rPr>
        <w:t>配建幼儿园装修标准按室内不低于</w:t>
      </w:r>
      <w:r>
        <w:rPr>
          <w:rFonts w:hint="default" w:ascii="Times New Roman" w:hAnsi="Times New Roman" w:eastAsia="仿宋_GB2312" w:cs="Times New Roman"/>
          <w:color w:val="auto"/>
          <w:sz w:val="32"/>
          <w:szCs w:val="48"/>
          <w:lang w:val="en-US" w:eastAsia="zh-CN"/>
        </w:rPr>
        <w:t>1600元/</w:t>
      </w:r>
      <w:r>
        <w:rPr>
          <w:rFonts w:hint="default" w:ascii="Times New Roman" w:hAnsi="Times New Roman" w:eastAsia="仿宋_GB2312" w:cs="Times New Roman"/>
          <w:color w:val="auto"/>
          <w:sz w:val="32"/>
          <w:szCs w:val="48"/>
          <w:lang w:eastAsia="zh-CN"/>
        </w:rPr>
        <w:t>平方米</w:t>
      </w:r>
      <w:r>
        <w:rPr>
          <w:rFonts w:hint="default" w:ascii="Times New Roman" w:hAnsi="Times New Roman" w:eastAsia="仿宋_GB2312" w:cs="Times New Roman"/>
          <w:color w:val="auto"/>
          <w:sz w:val="32"/>
          <w:szCs w:val="48"/>
          <w:lang w:val="en-US" w:eastAsia="zh-CN"/>
        </w:rPr>
        <w:t>、室外不低于1100元/平方米标准进行建设，且具体装修方案应与丰泽区教育局协商一致，经验收合格后再移交丰泽区教育局。</w:t>
      </w:r>
    </w:p>
    <w:p>
      <w:pPr>
        <w:widowControl/>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8.丰2024-27-1号地块在办理商品房预售许可（现售备案）时，优先安排10%的房源套数作为高层次人才房源，10%的房源套数作为中央活力区政策的配套房源。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9.丰2024-27-1号地块不设住宅最高销售限价，由竞得企业根据市场情况自主定价，销售价格接受主管部门指导、监督。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丰2024-27-1号地块的可销售房源应全部按程序办理预（现）售手续并向社会销售。严禁采取“以房抵债”、股东或特定群体垄断房源、办理自有产权等方式逃避销售，否则住建部门不予办理合同网签备案，产权登记部门不予办理产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12.上述地块由非泉州市丰泽区的法人竞得的，须在泉州市丰泽区注册成立新公司，所有税收应在当地缴纳。</w:t>
      </w:r>
    </w:p>
    <w:p>
      <w:pPr>
        <w:spacing w:line="579"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按照《泉州市人民政府办公室关于印发泉州市2023年促进房地产市场平稳健康发展工作方案的通知》（泉政办〔2023〕11号）要求，上述地块充电桩车位配建比例不低于50%。按照《泉州市住房和城乡建设局等4部门关于规范住宅小区电动汽车充电设施建设管理的通知》（泉建规〔2023〕3号）要求，严格落实新建住宅小区固定车位100%建设充电设施或预留安装条件，预留安装条件时需将管线（含低压电缆、电缆分支箱、计量表箱）和桥架等供电设施建设到车位，以满足直接装表接电需求。</w:t>
      </w:r>
      <w:r>
        <w:rPr>
          <w:rFonts w:hint="default" w:ascii="Times New Roman" w:hAnsi="Times New Roman" w:eastAsia="仿宋_GB2312" w:cs="Times New Roman"/>
          <w:color w:val="auto"/>
          <w:sz w:val="32"/>
          <w:szCs w:val="32"/>
          <w:lang w:eastAsia="zh-CN"/>
        </w:rPr>
        <w:t>根据《泉州市人民政府办公室关于印发泉州市电动自行车安全隐患全链条整治行动实施方案的通知》（泉政办</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）要求，严格新建居住项目规划审批管理，将电动自行车停放充电设施纳入项目配套。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.按照《泉州市住房和城乡建设局等三部门关于加快推动新型建筑工业化发展的通知》（泉建规〔2022〕3号）要求，上述地块的装配式建筑应占新建建筑面积40%以上。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.按照《泉州市人民政府关于印发泉州市促进房地产市场持续健康稳定发展若干意见（2018—2025年）的通知》（泉政文〔2018〕87号）要求，上述地块的建筑单体质量要求达到泉州市优质工程及以上。</w:t>
      </w:r>
    </w:p>
    <w:p>
      <w:pPr>
        <w:widowControl/>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.按照《泉州市人民政府办公室转发泉州市住房和城乡建设局 泉州市自然资源和规划局关于加强新建商品住宅及商办类建筑建设管理的通知》（泉政办明传〔2021〕75号）要求，上述地块开发建设应符合《新建商品住宅建设品质提升事项》。</w:t>
      </w:r>
    </w:p>
    <w:p>
      <w:pPr>
        <w:widowControl/>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五、竞买人资格</w:t>
      </w:r>
    </w:p>
    <w:p>
      <w:pPr>
        <w:widowControl/>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同一企业及其控股的各个公司，不得参与同一宗地的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交纳竞买保证金的截止时间为202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7</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10</w:t>
      </w:r>
      <w:r>
        <w:rPr>
          <w:rFonts w:hint="eastAsia" w:ascii="仿宋_GB2312" w:hAnsi="仿宋_GB2312" w:eastAsia="仿宋_GB2312" w:cs="仿宋_GB2312"/>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eastAsia="仿宋_GB2312" w:cs="仿宋_GB2312"/>
          <w:color w:val="auto"/>
          <w:szCs w:val="32"/>
          <w:lang w:eastAsia="zh-CN"/>
        </w:rPr>
      </w:pPr>
      <w:r>
        <w:rPr>
          <w:rFonts w:hint="eastAsia" w:hAnsi="仿宋_GB2312" w:cs="仿宋_GB2312"/>
          <w:color w:val="auto"/>
          <w:szCs w:val="32"/>
          <w:lang w:val="en-US" w:eastAsia="zh-CN"/>
        </w:rPr>
        <w:t>丰2024-27-1号</w:t>
      </w:r>
      <w:r>
        <w:rPr>
          <w:rFonts w:hint="eastAsia" w:ascii="仿宋_GB2312" w:hAnsi="仿宋_GB2312" w:eastAsia="仿宋_GB2312" w:cs="仿宋_GB2312"/>
          <w:color w:val="auto"/>
          <w:szCs w:val="32"/>
        </w:rPr>
        <w:t>地块的竞买保证金为人民币（大写）</w:t>
      </w:r>
      <w:r>
        <w:rPr>
          <w:rFonts w:hint="eastAsia" w:hAnsi="仿宋_GB2312" w:cs="仿宋_GB2312"/>
          <w:color w:val="auto"/>
          <w:szCs w:val="32"/>
          <w:lang w:eastAsia="zh-CN"/>
        </w:rPr>
        <w:t>壹亿捌仟万元</w:t>
      </w:r>
      <w:r>
        <w:rPr>
          <w:rFonts w:hint="eastAsia" w:ascii="仿宋_GB2312" w:hAnsi="仿宋_GB2312" w:eastAsia="仿宋_GB2312" w:cs="仿宋_GB2312"/>
          <w:color w:val="auto"/>
          <w:szCs w:val="32"/>
        </w:rPr>
        <w:t>整（</w:t>
      </w:r>
      <w:r>
        <w:rPr>
          <w:rFonts w:hint="eastAsia" w:hAnsi="仿宋_GB2312" w:cs="仿宋_GB2312"/>
          <w:color w:val="auto"/>
          <w:szCs w:val="32"/>
          <w:lang w:val="en-US" w:eastAsia="zh-CN"/>
        </w:rPr>
        <w:t>¥180</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00,000.00</w:t>
      </w:r>
      <w:r>
        <w:rPr>
          <w:rFonts w:hint="eastAsia" w:ascii="仿宋_GB2312" w:hAnsi="仿宋_GB2312" w:eastAsia="仿宋_GB2312" w:cs="仿宋_GB2312"/>
          <w:color w:val="auto"/>
          <w:szCs w:val="32"/>
        </w:rPr>
        <w:t>）</w:t>
      </w:r>
      <w:r>
        <w:rPr>
          <w:rFonts w:hint="eastAsia" w:hAnsi="仿宋_GB2312" w:cs="仿宋_GB2312"/>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hAnsi="仿宋_GB2312" w:cs="仿宋_GB2312"/>
          <w:color w:val="auto"/>
          <w:szCs w:val="32"/>
          <w:lang w:val="en-US" w:eastAsia="zh-CN"/>
        </w:rPr>
        <w:t>丰2023-23号</w:t>
      </w:r>
      <w:r>
        <w:rPr>
          <w:rFonts w:hint="eastAsia" w:ascii="仿宋_GB2312" w:hAnsi="仿宋_GB2312" w:eastAsia="仿宋_GB2312" w:cs="仿宋_GB2312"/>
          <w:color w:val="auto"/>
          <w:szCs w:val="32"/>
        </w:rPr>
        <w:t>地块的竞买保证金为人民币（大写）</w:t>
      </w:r>
      <w:r>
        <w:rPr>
          <w:rFonts w:hint="eastAsia" w:hAnsi="仿宋_GB2312" w:cs="仿宋_GB2312"/>
          <w:color w:val="auto"/>
          <w:szCs w:val="32"/>
          <w:lang w:eastAsia="zh-CN"/>
        </w:rPr>
        <w:t>贰仟捌佰万元</w:t>
      </w:r>
      <w:r>
        <w:rPr>
          <w:rFonts w:hint="eastAsia" w:ascii="仿宋_GB2312" w:hAnsi="仿宋_GB2312" w:eastAsia="仿宋_GB2312" w:cs="仿宋_GB2312"/>
          <w:color w:val="auto"/>
          <w:szCs w:val="32"/>
        </w:rPr>
        <w:t>整（</w:t>
      </w:r>
      <w:r>
        <w:rPr>
          <w:rFonts w:hint="eastAsia" w:hAnsi="仿宋_GB2312" w:cs="仿宋_GB2312"/>
          <w:color w:val="auto"/>
          <w:szCs w:val="32"/>
          <w:lang w:val="en-US" w:eastAsia="zh-CN"/>
        </w:rPr>
        <w:t>¥28</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00,000.00</w:t>
      </w:r>
      <w:r>
        <w:rPr>
          <w:rFonts w:hint="eastAsia" w:ascii="仿宋_GB2312" w:hAnsi="仿宋_GB2312" w:eastAsia="仿宋_GB2312" w:cs="仿宋_GB2312"/>
          <w:color w:val="auto"/>
          <w:szCs w:val="32"/>
        </w:rPr>
        <w:t>）</w:t>
      </w:r>
      <w:r>
        <w:rPr>
          <w:rFonts w:hint="eastAsia" w:hAnsi="仿宋_GB2312" w:cs="仿宋_GB2312"/>
          <w:color w:val="auto"/>
          <w:szCs w:val="32"/>
          <w:lang w:eastAsia="zh-CN"/>
        </w:rPr>
        <w:t>。</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六、申请和资格审查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（一）拍卖出让文件索取</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竞买人可于202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25</w:t>
      </w:r>
      <w:r>
        <w:rPr>
          <w:rFonts w:hint="eastAsia" w:ascii="仿宋_GB2312" w:hAnsi="仿宋_GB2312" w:eastAsia="仿宋_GB2312" w:cs="仿宋_GB2312"/>
          <w:color w:val="auto"/>
          <w:szCs w:val="32"/>
        </w:rPr>
        <w:t>日至202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7</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10</w:t>
      </w:r>
      <w:r>
        <w:rPr>
          <w:rFonts w:hint="eastAsia" w:ascii="仿宋_GB2312" w:hAnsi="仿宋_GB2312" w:eastAsia="仿宋_GB2312" w:cs="仿宋_GB2312"/>
          <w:color w:val="auto"/>
          <w:szCs w:val="32"/>
        </w:rPr>
        <w:t>日，到泉州市丰泽区海星街100号东海大厦A幢市政务服务中心4楼450室购买索取本次拍卖出让文件，具体包括：</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1.国有建设用地使用权出让公告(泉自然资告字〔202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w:t>
      </w:r>
      <w:r>
        <w:rPr>
          <w:rFonts w:hint="eastAsia" w:hAnsi="仿宋_GB2312" w:cs="仿宋_GB2312"/>
          <w:color w:val="auto"/>
          <w:szCs w:val="32"/>
          <w:lang w:val="en-US" w:eastAsia="zh-CN"/>
        </w:rPr>
        <w:t>9</w:t>
      </w:r>
      <w:r>
        <w:rPr>
          <w:rFonts w:hint="eastAsia" w:ascii="仿宋_GB2312" w:hAnsi="仿宋_GB2312" w:eastAsia="仿宋_GB2312" w:cs="仿宋_GB2312"/>
          <w:color w:val="auto"/>
          <w:szCs w:val="32"/>
        </w:rPr>
        <w:t>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2.国有建设用地使用权拍卖出让须知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3.泉州市自然资源和规划局规划设计条件文件（复印件）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4.竞买申请书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5.竞买承诺书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6.法定代表人身份证明书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7.授权委托书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8.竞买资格确认书（样本）</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9.成交确认书（样本）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10.地块宗地图（复印件）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11.泉州市自然资源和规划局用地红线图（复印件）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12</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《住宅用地竞买保证金、成交价款来源情况申报表》</w:t>
      </w:r>
    </w:p>
    <w:p>
      <w:pPr>
        <w:spacing w:line="520" w:lineRule="exact"/>
        <w:ind w:firstLine="640" w:firstLineChars="200"/>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color w:val="auto"/>
          <w:szCs w:val="32"/>
          <w:lang w:val="en-US" w:eastAsia="zh-CN"/>
        </w:rPr>
        <w:t>13.</w:t>
      </w:r>
      <w:r>
        <w:rPr>
          <w:rFonts w:hint="eastAsia" w:hAnsi="仿宋_GB2312" w:cs="仿宋_GB2312"/>
          <w:color w:val="auto"/>
          <w:szCs w:val="32"/>
          <w:lang w:val="en-US" w:eastAsia="zh-CN"/>
        </w:rPr>
        <w:t>丰2023-23号地块安置房回购协议</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（二）提交申请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竞买人应于202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7</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10</w:t>
      </w:r>
      <w:r>
        <w:rPr>
          <w:rFonts w:hint="eastAsia" w:ascii="仿宋_GB2312" w:hAnsi="仿宋_GB2312" w:eastAsia="仿宋_GB2312" w:cs="仿宋_GB2312"/>
          <w:color w:val="auto"/>
          <w:szCs w:val="32"/>
        </w:rPr>
        <w:t>日17时前，到泉州市丰泽区海星街100号东海大厦A幢市政务服务中心4楼450室提交书面申请（不接受邮寄、电子邮件及口头竞买报名），</w:t>
      </w:r>
      <w:r>
        <w:rPr>
          <w:rFonts w:hint="eastAsia" w:ascii="仿宋_GB2312" w:hAnsi="仿宋_GB2312" w:eastAsia="仿宋_GB2312" w:cs="仿宋_GB2312"/>
          <w:b/>
          <w:color w:val="auto"/>
          <w:szCs w:val="32"/>
        </w:rPr>
        <w:t>所有申请文件必须为正本一式二份。</w:t>
      </w:r>
      <w:r>
        <w:rPr>
          <w:rFonts w:hint="eastAsia" w:ascii="仿宋_GB2312" w:hAnsi="仿宋_GB2312" w:eastAsia="仿宋_GB2312" w:cs="仿宋_GB2312"/>
          <w:color w:val="auto"/>
          <w:szCs w:val="32"/>
        </w:rPr>
        <w:t>申请文件包括：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1．法人申请的，应提交下列文件：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（1）竞买申请书；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（2）竞买承诺书；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（3）《住宅用地竞买保证金、成交价款来源情况申报表》；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（4）法人单位有效证明文件；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（5）法定代表人身份证明书；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（6）竞买人委托他人办理的，应提交授权委托书及委托代理人的有效身份证明文件；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（7）竞买保证金交纳凭证；</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（8）拍卖文件规定需要提交的其他文件。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2．其他组织申请的，应提交下列文件：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（1）竞买申请书；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（2）竞买承诺书；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（3）《住宅用地竞买保证金、成交价款来源情况申报表》；</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（4）表明该组织合法存在的文件或有效证明；</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（5）表明该组织负责人身份的有效证明文件；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（6）申请人委托他人办理的，应提交授权委托书及委托代理人的身份证明文件；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（7）竞买保证金交纳凭证；</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（8）拍卖文件规定需要提交的其他文件。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3．境外申请人申请的，应提交下列文件：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（1）竞买申请书；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（2）竞买承诺书；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（3）《住宅用地竞买保证金、成交价款来源情况申报表》；</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（4）境外法人、自然人、其他组织的有效身份证明文件；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（5）申请人委托他人办理的，应提交经公证的授权委托书及委托代理人的有效身份证明文件；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（6）竞买保证金交纳凭证；</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（7）拍卖文件规定需要提交的其他文件。</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（三）资格审查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经审查，有下列情形之一的，为无效申请：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1.竞买人不具备竞买资格的；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2.未按规定交纳竞买保证金的；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3.申请文件不齐全或不符合规定的；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4.委托他人代理，委托文件不齐全或不符合规定的；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5.竞买人违反《竞买承诺书》中约定的；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6.法律法规规定的其他情形。</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（四）确认竞买人资格</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（五）答疑及现场踏勘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竞买人对拍卖出让文件有疑问的，可以在拍卖会开始前以书面或者口头方式向我局咨询。我局于202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26</w:t>
      </w:r>
      <w:r>
        <w:rPr>
          <w:rFonts w:hint="eastAsia" w:ascii="仿宋_GB2312" w:hAnsi="仿宋_GB2312" w:eastAsia="仿宋_GB2312" w:cs="仿宋_GB2312"/>
          <w:color w:val="auto"/>
          <w:szCs w:val="32"/>
        </w:rPr>
        <w:t>日至202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2</w:t>
      </w:r>
      <w:r>
        <w:rPr>
          <w:rFonts w:hint="eastAsia" w:hAnsi="仿宋_GB2312" w:cs="仿宋_GB2312"/>
          <w:color w:val="auto"/>
          <w:szCs w:val="32"/>
          <w:lang w:val="en-US" w:eastAsia="zh-CN"/>
        </w:rPr>
        <w:t>7</w:t>
      </w:r>
      <w:r>
        <w:rPr>
          <w:rFonts w:hint="eastAsia" w:ascii="仿宋_GB2312" w:hAnsi="仿宋_GB2312" w:eastAsia="仿宋_GB2312" w:cs="仿宋_GB2312"/>
          <w:color w:val="auto"/>
          <w:szCs w:val="32"/>
        </w:rPr>
        <w:t>日组织竞买人对拟出让地块进行现场踏勘。需由我局派员陪同实地踏勘的，请提前与我局联系（联系电话：0595－22769</w:t>
      </w:r>
      <w:r>
        <w:rPr>
          <w:rFonts w:hint="eastAsia" w:ascii="仿宋_GB2312" w:hAnsi="仿宋_GB2312" w:eastAsia="仿宋_GB2312" w:cs="仿宋_GB2312"/>
          <w:color w:val="auto"/>
          <w:szCs w:val="32"/>
          <w:lang w:val="en-US" w:eastAsia="zh-CN"/>
        </w:rPr>
        <w:t>01</w:t>
      </w:r>
      <w:r>
        <w:rPr>
          <w:rFonts w:hint="eastAsia" w:ascii="仿宋_GB2312" w:hAnsi="仿宋_GB2312" w:eastAsia="仿宋_GB2312" w:cs="仿宋_GB2312"/>
          <w:color w:val="auto"/>
          <w:szCs w:val="32"/>
        </w:rPr>
        <w:t>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七、宗地的拍卖起叫价和增价幅度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hAnsi="仿宋_GB2312" w:cs="仿宋_GB2312"/>
          <w:color w:val="auto"/>
          <w:szCs w:val="32"/>
          <w:lang w:eastAsia="zh-CN"/>
        </w:rPr>
      </w:pPr>
      <w:r>
        <w:rPr>
          <w:rFonts w:hint="eastAsia" w:hAnsi="仿宋_GB2312" w:cs="仿宋_GB2312"/>
          <w:color w:val="auto"/>
          <w:szCs w:val="32"/>
          <w:lang w:val="en-US" w:eastAsia="zh-CN"/>
        </w:rPr>
        <w:t>丰2024-27-1</w:t>
      </w:r>
      <w:r>
        <w:rPr>
          <w:rFonts w:hint="eastAsia" w:ascii="仿宋_GB2312" w:hAnsi="仿宋_GB2312" w:eastAsia="仿宋_GB2312" w:cs="仿宋_GB2312"/>
          <w:color w:val="auto"/>
          <w:szCs w:val="32"/>
        </w:rPr>
        <w:t>号地块，起叫价为人民币（大写）</w:t>
      </w:r>
      <w:r>
        <w:rPr>
          <w:rFonts w:hint="eastAsia" w:hAnsi="仿宋_GB2312" w:cs="仿宋_GB2312"/>
          <w:color w:val="auto"/>
          <w:szCs w:val="32"/>
          <w:lang w:eastAsia="zh-CN"/>
        </w:rPr>
        <w:t>玖亿</w:t>
      </w:r>
      <w:r>
        <w:rPr>
          <w:rFonts w:hint="eastAsia" w:ascii="仿宋_GB2312" w:hAnsi="仿宋_GB2312" w:eastAsia="仿宋_GB2312" w:cs="仿宋_GB2312"/>
          <w:color w:val="auto"/>
          <w:szCs w:val="32"/>
        </w:rPr>
        <w:t>元整（</w:t>
      </w:r>
      <w:r>
        <w:rPr>
          <w:rFonts w:hint="eastAsia" w:hAnsi="仿宋_GB2312" w:cs="仿宋_GB2312"/>
          <w:color w:val="auto"/>
          <w:szCs w:val="32"/>
          <w:lang w:val="en-US" w:eastAsia="zh-CN"/>
        </w:rPr>
        <w:t>¥900</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00,000.00</w:t>
      </w:r>
      <w:r>
        <w:rPr>
          <w:rFonts w:hint="eastAsia" w:ascii="仿宋_GB2312" w:hAnsi="仿宋_GB2312" w:eastAsia="仿宋_GB2312" w:cs="仿宋_GB2312"/>
          <w:color w:val="auto"/>
          <w:szCs w:val="32"/>
        </w:rPr>
        <w:t>），增价幅度为人民币（大写）</w:t>
      </w:r>
      <w:r>
        <w:rPr>
          <w:rFonts w:hint="eastAsia" w:hAnsi="仿宋_GB2312" w:cs="仿宋_GB2312"/>
          <w:color w:val="auto"/>
          <w:szCs w:val="32"/>
          <w:lang w:eastAsia="zh-CN"/>
        </w:rPr>
        <w:t>肆</w:t>
      </w:r>
      <w:r>
        <w:rPr>
          <w:rFonts w:hint="eastAsia" w:ascii="仿宋_GB2312" w:hAnsi="仿宋_GB2312" w:eastAsia="仿宋_GB2312" w:cs="仿宋_GB2312"/>
          <w:color w:val="auto"/>
          <w:szCs w:val="32"/>
        </w:rPr>
        <w:t>佰万元整（</w:t>
      </w:r>
      <w:r>
        <w:rPr>
          <w:rFonts w:hint="eastAsia" w:hAnsi="仿宋_GB2312" w:cs="仿宋_GB2312"/>
          <w:color w:val="auto"/>
          <w:szCs w:val="32"/>
          <w:lang w:val="en-US" w:eastAsia="zh-CN"/>
        </w:rPr>
        <w:t>¥4</w:t>
      </w:r>
      <w:r>
        <w:rPr>
          <w:rFonts w:hint="eastAsia" w:ascii="仿宋_GB2312" w:hAnsi="仿宋_GB2312" w:eastAsia="仿宋_GB2312" w:cs="仿宋_GB2312"/>
          <w:color w:val="auto"/>
          <w:szCs w:val="32"/>
        </w:rPr>
        <w:t>,000,000.00）或</w:t>
      </w:r>
      <w:r>
        <w:rPr>
          <w:rFonts w:hint="eastAsia" w:hAnsi="仿宋_GB2312" w:cs="仿宋_GB2312"/>
          <w:color w:val="auto"/>
          <w:szCs w:val="32"/>
          <w:lang w:val="en-US" w:eastAsia="zh-CN"/>
        </w:rPr>
        <w:t>4</w:t>
      </w:r>
      <w:r>
        <w:rPr>
          <w:rFonts w:hint="eastAsia" w:ascii="仿宋_GB2312" w:hAnsi="仿宋_GB2312" w:eastAsia="仿宋_GB2312" w:cs="仿宋_GB2312"/>
          <w:color w:val="auto"/>
          <w:szCs w:val="32"/>
        </w:rPr>
        <w:t>00万元整数倍金额</w:t>
      </w:r>
      <w:r>
        <w:rPr>
          <w:rFonts w:hint="eastAsia" w:hAnsi="仿宋_GB2312" w:cs="仿宋_GB2312"/>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Cs w:val="32"/>
          <w:lang w:eastAsia="zh-CN"/>
        </w:rPr>
      </w:pPr>
      <w:r>
        <w:rPr>
          <w:rFonts w:hint="eastAsia" w:hAnsi="仿宋_GB2312" w:cs="仿宋_GB2312"/>
          <w:color w:val="auto"/>
          <w:szCs w:val="32"/>
          <w:lang w:val="en-US" w:eastAsia="zh-CN"/>
        </w:rPr>
        <w:t>丰2023-23</w:t>
      </w:r>
      <w:r>
        <w:rPr>
          <w:rFonts w:hint="eastAsia" w:ascii="仿宋_GB2312" w:hAnsi="仿宋_GB2312" w:eastAsia="仿宋_GB2312" w:cs="仿宋_GB2312"/>
          <w:color w:val="auto"/>
          <w:szCs w:val="32"/>
        </w:rPr>
        <w:t>号地块，起叫价为人民币（大写）</w:t>
      </w:r>
      <w:r>
        <w:rPr>
          <w:rFonts w:hint="eastAsia" w:hAnsi="仿宋_GB2312" w:cs="仿宋_GB2312"/>
          <w:color w:val="auto"/>
          <w:szCs w:val="32"/>
          <w:lang w:eastAsia="zh-CN"/>
        </w:rPr>
        <w:t>壹亿叁仟柒佰万</w:t>
      </w:r>
      <w:r>
        <w:rPr>
          <w:rFonts w:hint="eastAsia" w:ascii="仿宋_GB2312" w:hAnsi="仿宋_GB2312" w:eastAsia="仿宋_GB2312" w:cs="仿宋_GB2312"/>
          <w:color w:val="auto"/>
          <w:szCs w:val="32"/>
        </w:rPr>
        <w:t>元整（</w:t>
      </w:r>
      <w:r>
        <w:rPr>
          <w:rFonts w:hint="eastAsia" w:hAnsi="仿宋_GB2312" w:cs="仿宋_GB2312"/>
          <w:color w:val="auto"/>
          <w:szCs w:val="32"/>
          <w:lang w:val="en-US" w:eastAsia="zh-CN"/>
        </w:rPr>
        <w:t>¥137</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00,000.00</w:t>
      </w:r>
      <w:r>
        <w:rPr>
          <w:rFonts w:hint="eastAsia" w:ascii="仿宋_GB2312" w:hAnsi="仿宋_GB2312" w:eastAsia="仿宋_GB2312" w:cs="仿宋_GB2312"/>
          <w:color w:val="auto"/>
          <w:szCs w:val="32"/>
        </w:rPr>
        <w:t>），增价幅度为人民币（大写）</w:t>
      </w:r>
      <w:r>
        <w:rPr>
          <w:rFonts w:hint="eastAsia" w:hAnsi="仿宋_GB2312" w:cs="仿宋_GB2312"/>
          <w:color w:val="auto"/>
          <w:szCs w:val="32"/>
          <w:lang w:eastAsia="zh-CN"/>
        </w:rPr>
        <w:t>伍拾万</w:t>
      </w:r>
      <w:r>
        <w:rPr>
          <w:rFonts w:hint="eastAsia" w:ascii="仿宋_GB2312" w:hAnsi="仿宋_GB2312" w:eastAsia="仿宋_GB2312" w:cs="仿宋_GB2312"/>
          <w:color w:val="auto"/>
          <w:szCs w:val="32"/>
        </w:rPr>
        <w:t>元整（</w:t>
      </w:r>
      <w:r>
        <w:rPr>
          <w:rFonts w:hint="eastAsia" w:hAnsi="仿宋_GB2312" w:cs="仿宋_GB2312"/>
          <w:color w:val="auto"/>
          <w:szCs w:val="32"/>
          <w:lang w:val="en-US" w:eastAsia="zh-CN"/>
        </w:rPr>
        <w:t>¥5</w:t>
      </w:r>
      <w:r>
        <w:rPr>
          <w:rFonts w:hint="eastAsia" w:ascii="仿宋_GB2312" w:hAnsi="仿宋_GB2312" w:eastAsia="仿宋_GB2312" w:cs="仿宋_GB2312"/>
          <w:color w:val="auto"/>
          <w:szCs w:val="32"/>
        </w:rPr>
        <w:t>00,000.00）或</w:t>
      </w:r>
      <w:r>
        <w:rPr>
          <w:rFonts w:hint="eastAsia" w:hAnsi="仿宋_GB2312" w:cs="仿宋_GB2312"/>
          <w:color w:val="auto"/>
          <w:szCs w:val="32"/>
          <w:lang w:val="en-US" w:eastAsia="zh-CN"/>
        </w:rPr>
        <w:t>5</w:t>
      </w:r>
      <w:r>
        <w:rPr>
          <w:rFonts w:hint="eastAsia" w:ascii="仿宋_GB2312" w:hAnsi="仿宋_GB2312" w:eastAsia="仿宋_GB2312" w:cs="仿宋_GB2312"/>
          <w:color w:val="auto"/>
          <w:szCs w:val="32"/>
        </w:rPr>
        <w:t>0万元整数倍金额。</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八、拍卖程序</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（一）拍卖会程序</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1．拍卖主持人宣布拍卖会开始。</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2．拍卖主持人、记录员、公证员就位。</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3．拍卖主持人点算竞买人。点到竞买号牌号码时，竞买人须举牌示意。拍卖主持人宣布竞买人到场情况。</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4．拍卖主持人介绍拍卖地块的位置、面积、用途、使用年限、规划指标要求、建设时间等。</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6．拍卖主持人报出起叫价，宣布竞价开始。</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8．拍卖主持人确认该竞买人应价或者报价后继续竞价。</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（三）出让人与竞得人依据《成交确认书》约定签订《国有建设用地使用权出让合同》。</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（四）出让结果公布</w:t>
      </w:r>
    </w:p>
    <w:p>
      <w:pPr>
        <w:spacing w:line="520" w:lineRule="exact"/>
        <w:ind w:firstLine="640" w:firstLineChars="200"/>
        <w:rPr>
          <w:rFonts w:hint="eastAsia"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我局将在此次国有建设用地使用权拍卖会结束后10个工作日内，在中国土地市场网（www.landchina.com）、泉州自然资源和规划</w:t>
      </w:r>
      <w:r>
        <w:rPr>
          <w:rFonts w:hint="eastAsia" w:ascii="仿宋_GB2312" w:hAnsi="仿宋_GB2312" w:eastAsia="仿宋_GB2312" w:cs="仿宋_GB2312"/>
          <w:color w:val="auto"/>
          <w:kern w:val="10"/>
          <w:szCs w:val="32"/>
        </w:rPr>
        <w:t>信息网（</w:t>
      </w:r>
      <w:r>
        <w:rPr>
          <w:rFonts w:hint="eastAsia" w:ascii="仿宋_GB2312" w:hAnsi="仿宋_GB2312" w:eastAsia="仿宋_GB2312" w:cs="仿宋_GB2312"/>
          <w:color w:val="auto"/>
          <w:szCs w:val="32"/>
        </w:rPr>
        <w:t>zyghj.quanzhou.gov.cn</w:t>
      </w:r>
      <w:r>
        <w:rPr>
          <w:rFonts w:hint="eastAsia" w:ascii="仿宋_GB2312" w:hAnsi="仿宋_GB2312" w:eastAsia="仿宋_GB2312" w:cs="仿宋_GB2312"/>
          <w:color w:val="auto"/>
          <w:kern w:val="10"/>
          <w:szCs w:val="32"/>
        </w:rPr>
        <w:t>）</w:t>
      </w:r>
      <w:r>
        <w:rPr>
          <w:rFonts w:hint="eastAsia" w:ascii="仿宋_GB2312" w:hAnsi="仿宋_GB2312" w:eastAsia="仿宋_GB2312" w:cs="仿宋_GB2312"/>
          <w:color w:val="auto"/>
          <w:szCs w:val="32"/>
        </w:rPr>
        <w:t>公布本次国有建设用地使用权拍卖出让结果。</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九、竞价规则</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（一）不设保留价，按照价高者得的原则确定竞得人。</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（二）竞买人以举牌方式应价，也可以报价，报价的加价幅度不得小于拍卖主持人宣布或调整的增价幅度。</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kern w:val="10"/>
          <w:szCs w:val="32"/>
        </w:rPr>
        <w:t>（三）竞买人凭《竞买资格确认书》和法定代表人（自然人、受委托代理人）身份证件领取竞买号牌。</w:t>
      </w:r>
      <w:r>
        <w:rPr>
          <w:rFonts w:hint="eastAsia" w:ascii="仿宋_GB2312" w:hAnsi="仿宋_GB2312" w:eastAsia="仿宋_GB2312" w:cs="仿宋_GB2312"/>
          <w:color w:val="auto"/>
          <w:szCs w:val="32"/>
        </w:rPr>
        <w:t>竞买号牌代表竞买人的资格。</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（四）</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7</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11</w:t>
      </w:r>
      <w:r>
        <w:rPr>
          <w:rFonts w:hint="eastAsia" w:ascii="仿宋_GB2312" w:hAnsi="仿宋_GB2312" w:eastAsia="仿宋_GB2312" w:cs="仿宋_GB2312"/>
          <w:color w:val="auto"/>
          <w:szCs w:val="32"/>
        </w:rPr>
        <w:t>日9</w:t>
      </w:r>
      <w:r>
        <w:rPr>
          <w:rFonts w:hint="eastAsia" w:ascii="仿宋_GB2312" w:hAnsi="仿宋_GB2312" w:eastAsia="仿宋_GB2312" w:cs="仿宋_GB2312"/>
          <w:color w:val="auto"/>
          <w:kern w:val="10"/>
          <w:szCs w:val="32"/>
        </w:rPr>
        <w:t>:00前，竞买人须领取竞买号牌并进入竞买现场，否则视为放弃竞买资格。</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十、缴款时间、交地时间和交地条件</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（一）缴款时间</w:t>
      </w:r>
    </w:p>
    <w:p>
      <w:pPr>
        <w:spacing w:line="520" w:lineRule="exact"/>
        <w:ind w:firstLine="640" w:firstLineChars="200"/>
        <w:rPr>
          <w:rFonts w:hint="eastAsia" w:ascii="仿宋_GB2312" w:hAnsi="仿宋_GB2312" w:eastAsia="仿宋_GB2312" w:cs="仿宋_GB2312"/>
          <w:color w:val="auto"/>
          <w:kern w:val="10"/>
          <w:szCs w:val="32"/>
          <w:lang w:eastAsia="zh-CN"/>
        </w:rPr>
      </w:pPr>
      <w:r>
        <w:rPr>
          <w:rFonts w:hint="eastAsia" w:ascii="仿宋_GB2312" w:hAnsi="仿宋_GB2312" w:eastAsia="仿宋_GB2312" w:cs="仿宋_GB2312"/>
          <w:color w:val="auto"/>
          <w:kern w:val="10"/>
          <w:szCs w:val="32"/>
        </w:rPr>
        <w:t>上述地块竞得人自竞得之日起30日内应缴交成交价总额50%的成交价款（竞买保证金转作受让地块的定金，抵作土地出让价款），其中丰2024-27-1号地块余款自竞得之日起5个月内交清，丰2023-23号地块余款自竞得之日起3个月内交清。</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竞得人应当按时支付成交价款，不能按时支付成交价款的，自违约之日起，每日按迟延支付款项的1‰向出让人缴纳违约金。延期付款超过60日，经出让人催缴后仍未支付成交价款的，出让人有权解除合同并可请求违约赔偿，竞得人无权要求退还定金。</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（二）交地时间和交地条件</w:t>
      </w:r>
    </w:p>
    <w:p>
      <w:pPr>
        <w:spacing w:line="520" w:lineRule="exact"/>
        <w:ind w:firstLine="640" w:firstLineChars="200"/>
        <w:rPr>
          <w:rFonts w:hint="eastAsia" w:ascii="仿宋_GB2312" w:hAnsi="仿宋_GB2312" w:eastAsia="仿宋_GB2312" w:cs="仿宋_GB2312"/>
          <w:color w:val="auto"/>
          <w:kern w:val="10"/>
          <w:szCs w:val="32"/>
        </w:rPr>
      </w:pPr>
      <w:r>
        <w:rPr>
          <w:rFonts w:hint="eastAsia" w:ascii="仿宋_GB2312" w:hAnsi="仿宋_GB2312" w:eastAsia="仿宋_GB2312" w:cs="仿宋_GB2312"/>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十一、开工、竣工时间</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上述地块竞得人应在签订《国有建设用地使用权出让合同》之日起1年内开工，并在开工后</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年内竣工。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竞得人未能按照合同约定日期或同意延建所另行约定日期开工建设或竣工的，每延期</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rPr>
        <w:t>日，应向出让人支付相当于成交价款总额1‰的违约金。</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竞得人造成土地闲置，按《闲置土地处置办法》有关规定执行。</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十二、注意事项</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hint="eastAsia" w:ascii="仿宋_GB2312" w:hAnsi="仿宋_GB2312" w:eastAsia="仿宋_GB2312" w:cs="仿宋_GB2312"/>
          <w:color w:val="auto"/>
          <w:szCs w:val="32"/>
        </w:rPr>
        <w:t>竞买人</w:t>
      </w:r>
      <w:bookmarkEnd w:id="0"/>
      <w:r>
        <w:rPr>
          <w:rFonts w:hint="eastAsia" w:ascii="仿宋_GB2312" w:hAnsi="仿宋_GB2312" w:eastAsia="仿宋_GB2312" w:cs="仿宋_GB2312"/>
          <w:color w:val="auto"/>
          <w:szCs w:val="32"/>
        </w:rPr>
        <w:t>对拍卖文件及地块现状无异议并全部接受，并对有关承诺承担法律责任。</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（三）竞买人一经应价或报价，不可撤回。</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（六）有下列情形之一的，出让人或组织方应当在拍卖会前终止拍卖活动，并通知竞买人：</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1．竞买人串通损害国家利益、社会利益或他人合法权益的；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2．拍卖工作人员私下接触竞买人，足以影响拍卖公正性的；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3．应当依法终止拍卖活动的其他情形。</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（七）竞得人有下列行为之一的，视为违约，出让人或组织方可取消其竞得人资格，竞买保证金不予退还：</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1．竞得人逾期或拒绝签订《成交确认书》的；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w:t>
      </w:r>
      <w:bookmarkStart w:id="1" w:name="OLE_LINK2"/>
      <w:r>
        <w:rPr>
          <w:rFonts w:hint="eastAsia" w:ascii="仿宋_GB2312" w:hAnsi="仿宋_GB2312" w:eastAsia="仿宋_GB2312" w:cs="仿宋_GB2312"/>
          <w:color w:val="auto"/>
          <w:szCs w:val="32"/>
        </w:rPr>
        <w:t>．</w:t>
      </w:r>
      <w:bookmarkEnd w:id="1"/>
      <w:r>
        <w:rPr>
          <w:rFonts w:hint="eastAsia" w:ascii="仿宋_GB2312" w:hAnsi="仿宋_GB2312" w:eastAsia="仿宋_GB2312" w:cs="仿宋_GB2312"/>
          <w:color w:val="auto"/>
          <w:szCs w:val="32"/>
        </w:rPr>
        <w:t>竞得人逾期或拒绝签订《国有建设用地使用权出让合同》的。</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3．竞得人开出的银行支票或汇票在有效期内不能兑现或不能全部兑现。</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注：按上述费率分级累进计收，每宗收费金额不足100元的按100元收取。</w:t>
      </w:r>
    </w:p>
    <w:p>
      <w:pPr>
        <w:spacing w:line="52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竞得人须在成交之日起3个工作日内将交易服务费汇到泉州市产权交易中心有限公司指定账号内。</w:t>
      </w:r>
      <w:r>
        <w:rPr>
          <w:rFonts w:hint="eastAsia" w:ascii="仿宋_GB2312" w:hAnsi="仿宋_GB2312" w:eastAsia="仿宋_GB2312" w:cs="仿宋_GB2312"/>
          <w:bCs/>
          <w:color w:val="auto"/>
          <w:szCs w:val="32"/>
        </w:rPr>
        <w:t>交易服务费账户户名</w:t>
      </w:r>
      <w:r>
        <w:rPr>
          <w:rFonts w:hint="eastAsia" w:ascii="仿宋_GB2312" w:hAnsi="仿宋_GB2312" w:eastAsia="仿宋_GB2312" w:cs="仿宋_GB2312"/>
          <w:color w:val="auto"/>
          <w:szCs w:val="32"/>
        </w:rPr>
        <w:t>：泉州市产权交易中心有限公司，兴业银行泉州丰泽支行152690100100090830。</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（十）竞得人付清全部拍卖成交价款后，依法申请办理土地登记，领取《不动产权证》，取得土地使用权。</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（十二）拍卖不成交的，按规定由我局重新组织出让。</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（十三）参加拍卖活动的人员，应遵守现场的纪律，服从管理人员的管理。</w:t>
      </w:r>
    </w:p>
    <w:p>
      <w:pPr>
        <w:spacing w:line="520" w:lineRule="exact"/>
        <w:ind w:firstLine="640" w:firstLineChars="200"/>
        <w:rPr>
          <w:rFonts w:hint="eastAsia" w:ascii="仿宋_GB2312" w:hAnsi="仿宋_GB2312" w:eastAsia="仿宋_GB2312" w:cs="仿宋_GB2312"/>
          <w:color w:val="auto"/>
          <w:szCs w:val="32"/>
          <w:u w:val="single"/>
        </w:rPr>
      </w:pPr>
      <w:r>
        <w:rPr>
          <w:rFonts w:hint="eastAsia" w:ascii="仿宋_GB2312" w:hAnsi="仿宋_GB2312" w:eastAsia="仿宋_GB2312" w:cs="仿宋_GB2312"/>
          <w:color w:val="auto"/>
          <w:szCs w:val="32"/>
        </w:rPr>
        <w:t>（十四）</w:t>
      </w:r>
      <w:r>
        <w:rPr>
          <w:rFonts w:hint="eastAsia" w:ascii="仿宋_GB2312" w:hAnsi="仿宋_GB2312" w:eastAsia="仿宋_GB2312" w:cs="仿宋_GB2312"/>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hint="eastAsia" w:ascii="仿宋_GB2312" w:hAnsi="仿宋_GB2312" w:eastAsia="仿宋_GB2312" w:cs="仿宋_GB2312"/>
          <w:color w:val="auto"/>
          <w:szCs w:val="32"/>
        </w:rPr>
      </w:pPr>
    </w:p>
    <w:p>
      <w:pPr>
        <w:pStyle w:val="2"/>
        <w:rPr>
          <w:rFonts w:hint="eastAsia" w:ascii="仿宋_GB2312" w:hAnsi="仿宋_GB2312" w:eastAsia="仿宋_GB2312" w:cs="仿宋_GB2312"/>
          <w:color w:val="auto"/>
        </w:rPr>
      </w:pPr>
    </w:p>
    <w:p>
      <w:pPr>
        <w:spacing w:line="520" w:lineRule="exact"/>
        <w:ind w:right="1440" w:rightChars="450"/>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泉州市自然资源和规划局</w:t>
      </w:r>
    </w:p>
    <w:p>
      <w:pPr>
        <w:spacing w:line="520" w:lineRule="exact"/>
        <w:ind w:right="1920" w:rightChars="600"/>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年</w:t>
      </w:r>
      <w:r>
        <w:rPr>
          <w:rFonts w:hint="eastAsia" w:hAnsi="仿宋_GB2312" w:cs="仿宋_GB2312"/>
          <w:color w:val="auto"/>
          <w:szCs w:val="32"/>
          <w:lang w:val="en-US" w:eastAsia="zh-CN"/>
        </w:rPr>
        <w:t>6</w:t>
      </w:r>
      <w:r>
        <w:rPr>
          <w:rFonts w:hint="eastAsia" w:ascii="仿宋_GB2312" w:hAnsi="仿宋_GB2312" w:eastAsia="仿宋_GB2312" w:cs="仿宋_GB2312"/>
          <w:color w:val="auto"/>
          <w:szCs w:val="32"/>
        </w:rPr>
        <w:t>月</w:t>
      </w:r>
      <w:r>
        <w:rPr>
          <w:rFonts w:hint="eastAsia" w:hAnsi="仿宋_GB2312" w:cs="仿宋_GB2312"/>
          <w:color w:val="auto"/>
          <w:szCs w:val="32"/>
          <w:lang w:val="en-US" w:eastAsia="zh-CN"/>
        </w:rPr>
        <w:t>21</w:t>
      </w:r>
      <w:bookmarkStart w:id="2" w:name="_GoBack"/>
      <w:bookmarkEnd w:id="2"/>
      <w:r>
        <w:rPr>
          <w:rFonts w:hint="eastAsia" w:ascii="仿宋_GB2312" w:hAnsi="仿宋_GB2312" w:eastAsia="仿宋_GB2312" w:cs="仿宋_GB2312"/>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5"/>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ZTU2N2M0YmZlOTJhYzVjNzZkYzBkOTkxMDVkYzE3YWI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AB322F0"/>
    <w:rsid w:val="1F351FAF"/>
    <w:rsid w:val="1F86792F"/>
    <w:rsid w:val="1FF746DA"/>
    <w:rsid w:val="20772D49"/>
    <w:rsid w:val="20B024A1"/>
    <w:rsid w:val="25205CF8"/>
    <w:rsid w:val="25E129FE"/>
    <w:rsid w:val="29535BBE"/>
    <w:rsid w:val="2BD42381"/>
    <w:rsid w:val="2E9F243D"/>
    <w:rsid w:val="2EE17814"/>
    <w:rsid w:val="2FEF7D77"/>
    <w:rsid w:val="31417311"/>
    <w:rsid w:val="3566232B"/>
    <w:rsid w:val="39DD2AC7"/>
    <w:rsid w:val="3A314ED2"/>
    <w:rsid w:val="3A7D040E"/>
    <w:rsid w:val="3B0E44F4"/>
    <w:rsid w:val="3B7FC157"/>
    <w:rsid w:val="3D15067F"/>
    <w:rsid w:val="3DB14890"/>
    <w:rsid w:val="3E8C3A26"/>
    <w:rsid w:val="3F5FF36E"/>
    <w:rsid w:val="3F73645C"/>
    <w:rsid w:val="3FB73CFF"/>
    <w:rsid w:val="3FFF14EC"/>
    <w:rsid w:val="412A0477"/>
    <w:rsid w:val="42041D48"/>
    <w:rsid w:val="45D07A7B"/>
    <w:rsid w:val="45FB48A4"/>
    <w:rsid w:val="48DB5365"/>
    <w:rsid w:val="48E2729B"/>
    <w:rsid w:val="4BDF7549"/>
    <w:rsid w:val="4DF37842"/>
    <w:rsid w:val="4F46621E"/>
    <w:rsid w:val="4FEDCE04"/>
    <w:rsid w:val="53417DE8"/>
    <w:rsid w:val="545D6861"/>
    <w:rsid w:val="551E49A7"/>
    <w:rsid w:val="565C1810"/>
    <w:rsid w:val="58805E0B"/>
    <w:rsid w:val="59FFFD36"/>
    <w:rsid w:val="5A100A69"/>
    <w:rsid w:val="5AC66E6D"/>
    <w:rsid w:val="5C2F2B85"/>
    <w:rsid w:val="5C99BAAC"/>
    <w:rsid w:val="5CCEE906"/>
    <w:rsid w:val="5D711BC1"/>
    <w:rsid w:val="5DC00719"/>
    <w:rsid w:val="5E6370DC"/>
    <w:rsid w:val="5E7210B7"/>
    <w:rsid w:val="5EBE1F44"/>
    <w:rsid w:val="5EF61BEE"/>
    <w:rsid w:val="5FFCDEF8"/>
    <w:rsid w:val="5FFE5D64"/>
    <w:rsid w:val="61E31F82"/>
    <w:rsid w:val="623173B1"/>
    <w:rsid w:val="627AADA0"/>
    <w:rsid w:val="64B6114A"/>
    <w:rsid w:val="654D6D68"/>
    <w:rsid w:val="67835892"/>
    <w:rsid w:val="69021880"/>
    <w:rsid w:val="69287FF9"/>
    <w:rsid w:val="69BA7FBC"/>
    <w:rsid w:val="69EF4473"/>
    <w:rsid w:val="69F5315F"/>
    <w:rsid w:val="6C5E3ED7"/>
    <w:rsid w:val="6D601559"/>
    <w:rsid w:val="6DC95D5B"/>
    <w:rsid w:val="6F4A2587"/>
    <w:rsid w:val="6F565F34"/>
    <w:rsid w:val="6F817756"/>
    <w:rsid w:val="6FBBBABD"/>
    <w:rsid w:val="706C57A0"/>
    <w:rsid w:val="70856287"/>
    <w:rsid w:val="71BFAB18"/>
    <w:rsid w:val="71CC5BD1"/>
    <w:rsid w:val="735B762D"/>
    <w:rsid w:val="73FF559C"/>
    <w:rsid w:val="73FF5AE4"/>
    <w:rsid w:val="75BE6923"/>
    <w:rsid w:val="75DE796D"/>
    <w:rsid w:val="761B3A3C"/>
    <w:rsid w:val="772C6592"/>
    <w:rsid w:val="7BF7CC0B"/>
    <w:rsid w:val="7BFD8D70"/>
    <w:rsid w:val="7C614DBC"/>
    <w:rsid w:val="7CED3003"/>
    <w:rsid w:val="7CFE5411"/>
    <w:rsid w:val="7DC16531"/>
    <w:rsid w:val="7DFD2408"/>
    <w:rsid w:val="7F3C7C26"/>
    <w:rsid w:val="7FAFA16A"/>
    <w:rsid w:val="ADAD7FA1"/>
    <w:rsid w:val="AFFF219C"/>
    <w:rsid w:val="B6F5B665"/>
    <w:rsid w:val="B7DB20F6"/>
    <w:rsid w:val="BD3B2D74"/>
    <w:rsid w:val="BEE466A8"/>
    <w:rsid w:val="C77BCFBB"/>
    <w:rsid w:val="CDDBF24C"/>
    <w:rsid w:val="D7BBABC2"/>
    <w:rsid w:val="DD7C8DA1"/>
    <w:rsid w:val="EF9DD4E3"/>
    <w:rsid w:val="F33752BE"/>
    <w:rsid w:val="F9D441FD"/>
    <w:rsid w:val="FA7E782C"/>
    <w:rsid w:val="FAFE31B2"/>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line="500" w:lineRule="exact"/>
    </w:pPr>
    <w:rPr>
      <w:sz w:val="3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0"/>
    <w:pPr>
      <w:spacing w:beforeAutospacing="1" w:afterAutospacing="1"/>
      <w:jc w:val="left"/>
    </w:pPr>
    <w:rPr>
      <w:sz w:val="24"/>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dfdf</Company>
  <Pages>15</Pages>
  <Words>5718</Words>
  <Characters>6055</Characters>
  <Lines>45</Lines>
  <Paragraphs>12</Paragraphs>
  <TotalTime>1</TotalTime>
  <ScaleCrop>false</ScaleCrop>
  <LinksUpToDate>false</LinksUpToDate>
  <CharactersWithSpaces>6059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2019-12-16T15:04:00Z</dcterms:created>
  <dc:creator>未羽</dc:creator>
  <cp:lastModifiedBy>市资源规划局</cp:lastModifiedBy>
  <cp:lastPrinted>2021-12-05T23:02:00Z</cp:lastPrinted>
  <dcterms:modified xsi:type="dcterms:W3CDTF">2025-06-20T15:49:41Z</dcterms:modified>
  <dc:title>国有建设用地使用权拍卖出让须知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147DB053FB7B4A7CAC58A0FE60B8BF0F</vt:lpwstr>
  </property>
</Properties>
</file>