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lang w:eastAsia="zh-CN"/>
        </w:rPr>
        <w:t>丰</w:t>
      </w:r>
      <w:r>
        <w:rPr>
          <w:rFonts w:hint="default" w:ascii="Times New Roman" w:hAnsi="Times New Roman" w:eastAsia="方正小标宋简体" w:cs="Times New Roman"/>
          <w:bCs/>
          <w:color w:val="auto"/>
          <w:sz w:val="44"/>
          <w:szCs w:val="44"/>
          <w:lang w:val="en-US" w:eastAsia="zh-CN"/>
        </w:rPr>
        <w:t>2025-6号等4宗</w:t>
      </w:r>
      <w:r>
        <w:rPr>
          <w:rFonts w:hint="default" w:ascii="Times New Roman" w:hAnsi="Times New Roman" w:eastAsia="方正小标宋简体" w:cs="Times New Roman"/>
          <w:bCs/>
          <w:color w:val="auto"/>
          <w:sz w:val="44"/>
          <w:szCs w:val="44"/>
        </w:rPr>
        <w:t>地块国有</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建设用地使用权拍卖出让须知</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b/>
          <w:color w:val="auto"/>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丰202</w:t>
      </w:r>
      <w:r>
        <w:rPr>
          <w:rFonts w:hint="default" w:ascii="Times New Roman" w:hAnsi="Times New Roman" w:cs="Times New Roman"/>
          <w:color w:val="auto"/>
          <w:szCs w:val="32"/>
          <w:lang w:val="en-US" w:eastAsia="zh-CN"/>
        </w:rPr>
        <w:t>5</w:t>
      </w:r>
      <w:r>
        <w:rPr>
          <w:rFonts w:hint="default" w:ascii="Times New Roman" w:hAnsi="Times New Roman" w:eastAsia="仿宋_GB2312" w:cs="Times New Roman"/>
          <w:color w:val="auto"/>
          <w:szCs w:val="32"/>
        </w:rPr>
        <w:t>-</w:t>
      </w:r>
      <w:r>
        <w:rPr>
          <w:rFonts w:hint="default" w:ascii="Times New Roman" w:hAnsi="Times New Roman" w:cs="Times New Roman"/>
          <w:color w:val="auto"/>
          <w:szCs w:val="32"/>
          <w:lang w:val="en-US" w:eastAsia="zh-CN"/>
        </w:rPr>
        <w:t>6</w:t>
      </w:r>
      <w:r>
        <w:rPr>
          <w:rFonts w:hint="default" w:ascii="Times New Roman" w:hAnsi="Times New Roman" w:eastAsia="仿宋_GB2312" w:cs="Times New Roman"/>
          <w:color w:val="auto"/>
          <w:szCs w:val="32"/>
        </w:rPr>
        <w:t>号</w:t>
      </w:r>
      <w:r>
        <w:rPr>
          <w:rFonts w:hint="default" w:ascii="Times New Roman" w:hAnsi="Times New Roman" w:cs="Times New Roman"/>
          <w:color w:val="auto"/>
          <w:szCs w:val="32"/>
          <w:lang w:eastAsia="zh-CN"/>
        </w:rPr>
        <w:t>等</w:t>
      </w:r>
      <w:r>
        <w:rPr>
          <w:rFonts w:hint="default" w:ascii="Times New Roman" w:hAnsi="Times New Roman" w:cs="Times New Roman"/>
          <w:color w:val="auto"/>
          <w:szCs w:val="32"/>
          <w:lang w:val="en-US" w:eastAsia="zh-CN"/>
        </w:rPr>
        <w:t>4宗地块</w:t>
      </w:r>
      <w:r>
        <w:rPr>
          <w:rFonts w:hint="default" w:ascii="Times New Roman" w:hAnsi="Times New Roman" w:eastAsia="仿宋_GB2312" w:cs="Times New Roman"/>
          <w:color w:val="auto"/>
          <w:szCs w:val="32"/>
        </w:rPr>
        <w:t>国有建设用地使用权。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人的确认。拍卖出让过程委托公证机构进行公证。泉州市产权交易中心有限公司指定的从事拍卖活动的人员为拍卖工作人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二、拍卖出让活动时间、地点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拍卖时间：202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cs="Times New Roman"/>
          <w:color w:val="auto"/>
          <w:sz w:val="32"/>
          <w:szCs w:val="32"/>
          <w:lang w:val="en-US" w:eastAsia="zh-CN"/>
        </w:rPr>
        <w:t>18</w:t>
      </w:r>
      <w:r>
        <w:rPr>
          <w:rFonts w:hint="default" w:ascii="Times New Roman" w:hAnsi="Times New Roman" w:eastAsia="仿宋_GB2312" w:cs="Times New Roman"/>
          <w:color w:val="auto"/>
          <w:sz w:val="32"/>
          <w:szCs w:val="32"/>
        </w:rPr>
        <w:t>日9：00。</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拍卖地点：泉州市政务服务中心（东海大厦）A幢442室（地址：泉州市丰泽区海星街100号）。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三、本次国有建设用地使用权拍卖出让按照价高者得的原则确定竞得人，不设保留价。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四、出让地块的基本情况、规划指标和相关要求：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（一）地块的基本情况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sz w:val="32"/>
          <w:szCs w:val="32"/>
          <w:lang w:val="en-US" w:eastAsia="zh-CN"/>
        </w:rPr>
        <w:t>1.</w:t>
      </w:r>
      <w:r>
        <w:rPr>
          <w:rFonts w:hint="default" w:ascii="Times New Roman" w:hAnsi="Times New Roman" w:eastAsia="楷体_GB2312" w:cs="Times New Roman"/>
          <w:b/>
          <w:color w:val="auto"/>
          <w:sz w:val="32"/>
          <w:szCs w:val="32"/>
        </w:rPr>
        <w:t>丰202</w:t>
      </w:r>
      <w:r>
        <w:rPr>
          <w:rFonts w:hint="default" w:ascii="Times New Roman" w:hAnsi="Times New Roman" w:eastAsia="楷体_GB2312" w:cs="Times New Roman"/>
          <w:b/>
          <w:color w:val="auto"/>
          <w:sz w:val="32"/>
          <w:szCs w:val="32"/>
          <w:lang w:val="en-US" w:eastAsia="zh-CN"/>
        </w:rPr>
        <w:t>5-6</w:t>
      </w:r>
      <w:r>
        <w:rPr>
          <w:rFonts w:hint="default" w:ascii="Times New Roman" w:hAnsi="Times New Roman" w:eastAsia="楷体_GB2312" w:cs="Times New Roman"/>
          <w:b/>
          <w:color w:val="auto"/>
          <w:sz w:val="32"/>
          <w:szCs w:val="32"/>
        </w:rPr>
        <w:t>号地块。</w:t>
      </w:r>
      <w:r>
        <w:rPr>
          <w:rFonts w:hint="default" w:ascii="Times New Roman" w:hAnsi="Times New Roman" w:eastAsia="仿宋_GB2312" w:cs="Times New Roman"/>
          <w:color w:val="auto"/>
          <w:sz w:val="32"/>
          <w:szCs w:val="32"/>
        </w:rPr>
        <w:t>该宗地即</w:t>
      </w:r>
      <w:r>
        <w:rPr>
          <w:rFonts w:hint="default" w:ascii="Times New Roman" w:hAnsi="Times New Roman" w:eastAsia="仿宋_GB2312" w:cs="Times New Roman"/>
          <w:color w:val="auto"/>
          <w:sz w:val="32"/>
          <w:szCs w:val="32"/>
          <w:lang w:val="en-US" w:eastAsia="zh-CN"/>
        </w:rPr>
        <w:t>2025-20号</w:t>
      </w:r>
      <w:r>
        <w:rPr>
          <w:rFonts w:hint="default" w:ascii="Times New Roman" w:hAnsi="Times New Roman" w:eastAsia="仿宋_GB2312" w:cs="Times New Roman"/>
          <w:color w:val="auto"/>
          <w:sz w:val="32"/>
          <w:szCs w:val="32"/>
        </w:rPr>
        <w:t>储备用地，位于丰泽区</w:t>
      </w:r>
      <w:r>
        <w:rPr>
          <w:rFonts w:hint="default" w:ascii="Times New Roman" w:hAnsi="Times New Roman" w:eastAsia="仿宋_GB2312" w:cs="Times New Roman"/>
          <w:color w:val="auto"/>
          <w:sz w:val="32"/>
          <w:szCs w:val="32"/>
          <w:lang w:eastAsia="zh-CN"/>
        </w:rPr>
        <w:t>东海街道，大兴街南侧、后厝街北侧、经十三路东侧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地面积</w:t>
      </w:r>
      <w:r>
        <w:rPr>
          <w:rFonts w:hint="default" w:ascii="Times New Roman" w:hAnsi="Times New Roman" w:eastAsia="仿宋_GB2312" w:cs="Times New Roman"/>
          <w:color w:val="auto"/>
          <w:sz w:val="32"/>
          <w:szCs w:val="32"/>
          <w:lang w:val="en-US" w:eastAsia="zh-CN"/>
        </w:rPr>
        <w:t>19279.53</w:t>
      </w:r>
      <w:r>
        <w:rPr>
          <w:rFonts w:hint="default" w:ascii="Times New Roman" w:hAnsi="Times New Roman" w:eastAsia="仿宋_GB2312" w:cs="Times New Roman"/>
          <w:bCs/>
          <w:color w:val="auto"/>
          <w:sz w:val="32"/>
          <w:szCs w:val="32"/>
          <w:lang w:val="zh-CN"/>
        </w:rPr>
        <w:t>平方米（约合</w:t>
      </w:r>
      <w:r>
        <w:rPr>
          <w:rFonts w:hint="default" w:ascii="Times New Roman" w:hAnsi="Times New Roman" w:eastAsia="仿宋" w:cs="Times New Roman"/>
          <w:color w:val="auto"/>
          <w:sz w:val="32"/>
          <w:szCs w:val="32"/>
          <w:lang w:val="en-US" w:eastAsia="zh-CN"/>
        </w:rPr>
        <w:t>28.91</w:t>
      </w:r>
      <w:r>
        <w:rPr>
          <w:rFonts w:hint="default" w:ascii="Times New Roman" w:hAnsi="Times New Roman" w:eastAsia="仿宋_GB2312" w:cs="Times New Roman"/>
          <w:bCs/>
          <w:color w:val="auto"/>
          <w:sz w:val="32"/>
          <w:szCs w:val="32"/>
          <w:lang w:val="zh-CN"/>
        </w:rPr>
        <w:t>亩）。</w:t>
      </w:r>
      <w:r>
        <w:rPr>
          <w:rFonts w:hint="default" w:ascii="Times New Roman" w:hAnsi="Times New Roman" w:eastAsia="仿宋_GB2312" w:cs="Times New Roman"/>
          <w:color w:val="auto"/>
          <w:sz w:val="32"/>
          <w:szCs w:val="32"/>
          <w:lang w:eastAsia="zh-CN"/>
        </w:rPr>
        <w:t>规划用途为二类城镇住宅用地</w:t>
      </w:r>
      <w:r>
        <w:rPr>
          <w:rFonts w:hint="default" w:ascii="Times New Roman" w:hAnsi="Times New Roman" w:eastAsia="仿宋_GB2312" w:cs="Times New Roman"/>
          <w:bCs/>
          <w:color w:val="auto"/>
          <w:sz w:val="32"/>
          <w:szCs w:val="32"/>
          <w:lang w:val="zh-CN"/>
        </w:rPr>
        <w:t>。</w:t>
      </w:r>
      <w:r>
        <w:rPr>
          <w:rFonts w:hint="default" w:ascii="Times New Roman" w:hAnsi="Times New Roman" w:eastAsia="仿宋_GB2312" w:cs="Times New Roman"/>
          <w:color w:val="auto"/>
          <w:sz w:val="32"/>
          <w:szCs w:val="32"/>
        </w:rPr>
        <w:t>主要技术指标为：容积率</w:t>
      </w:r>
      <w:r>
        <w:rPr>
          <w:rFonts w:hint="default"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以下，建筑密度</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%以下，绿地率</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%以上，建筑高度</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米以下。</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建设内容为</w:t>
      </w:r>
      <w:r>
        <w:rPr>
          <w:rFonts w:hint="default" w:ascii="Times New Roman" w:hAnsi="Times New Roman" w:eastAsia="仿宋_GB2312" w:cs="Times New Roman"/>
          <w:color w:val="auto"/>
          <w:sz w:val="32"/>
          <w:szCs w:val="32"/>
          <w:lang w:eastAsia="zh-CN"/>
        </w:rPr>
        <w:t>安置型商品住宅</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rPr>
        <w:t>丰202</w:t>
      </w:r>
      <w:r>
        <w:rPr>
          <w:rFonts w:hint="default"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13</w:t>
      </w:r>
      <w:r>
        <w:rPr>
          <w:rFonts w:hint="default" w:ascii="Times New Roman" w:hAnsi="Times New Roman" w:eastAsia="楷体_GB2312" w:cs="Times New Roman"/>
          <w:b/>
          <w:sz w:val="32"/>
          <w:szCs w:val="32"/>
        </w:rPr>
        <w:t>号地块。</w:t>
      </w:r>
      <w:r>
        <w:rPr>
          <w:rFonts w:hint="default" w:ascii="Times New Roman" w:hAnsi="Times New Roman" w:eastAsia="仿宋_GB2312" w:cs="Times New Roman"/>
          <w:sz w:val="32"/>
          <w:szCs w:val="32"/>
        </w:rPr>
        <w:t>该宗</w:t>
      </w:r>
      <w:r>
        <w:rPr>
          <w:rFonts w:hint="default" w:ascii="Times New Roman" w:hAnsi="Times New Roman" w:eastAsia="仿宋_GB2312" w:cs="Times New Roman"/>
          <w:color w:val="auto"/>
          <w:sz w:val="32"/>
          <w:szCs w:val="32"/>
        </w:rPr>
        <w:t>地即</w:t>
      </w:r>
      <w:r>
        <w:rPr>
          <w:rFonts w:hint="default" w:ascii="Times New Roman" w:hAnsi="Times New Roman" w:eastAsia="仿宋_GB2312" w:cs="Times New Roman"/>
          <w:color w:val="auto"/>
          <w:sz w:val="32"/>
          <w:szCs w:val="32"/>
          <w:lang w:val="en-US" w:eastAsia="zh-CN"/>
        </w:rPr>
        <w:t>2021-23号</w:t>
      </w:r>
      <w:r>
        <w:rPr>
          <w:rFonts w:hint="default" w:ascii="Times New Roman" w:hAnsi="Times New Roman" w:eastAsia="仿宋_GB2312" w:cs="Times New Roman"/>
          <w:color w:val="auto"/>
          <w:sz w:val="32"/>
          <w:szCs w:val="32"/>
        </w:rPr>
        <w:t>储备用地，位于丰泽区</w:t>
      </w:r>
      <w:r>
        <w:rPr>
          <w:rFonts w:hint="default" w:ascii="Times New Roman" w:hAnsi="Times New Roman" w:eastAsia="仿宋_GB2312" w:cs="Times New Roman"/>
          <w:color w:val="auto"/>
          <w:sz w:val="32"/>
          <w:szCs w:val="32"/>
          <w:lang w:eastAsia="zh-CN"/>
        </w:rPr>
        <w:t>南埔山</w:t>
      </w:r>
      <w:r>
        <w:rPr>
          <w:rFonts w:hint="default" w:ascii="Times New Roman" w:hAnsi="Times New Roman" w:eastAsia="仿宋_GB2312" w:cs="Times New Roman"/>
          <w:color w:val="auto"/>
          <w:sz w:val="32"/>
          <w:szCs w:val="32"/>
        </w:rPr>
        <w:t>片区</w:t>
      </w:r>
      <w:r>
        <w:rPr>
          <w:rFonts w:hint="default" w:ascii="Times New Roman" w:hAnsi="Times New Roman" w:eastAsia="仿宋_GB2312" w:cs="Times New Roman"/>
          <w:color w:val="auto"/>
          <w:sz w:val="32"/>
          <w:szCs w:val="32"/>
          <w:lang w:eastAsia="zh-CN"/>
        </w:rPr>
        <w:t>，东南至环山南路、西南至毓才街、北至蓬莱东路、东北至环山西路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地面积</w:t>
      </w:r>
      <w:r>
        <w:rPr>
          <w:rFonts w:hint="default" w:ascii="Times New Roman" w:hAnsi="Times New Roman" w:eastAsia="仿宋_GB2312" w:cs="Times New Roman"/>
          <w:color w:val="auto"/>
          <w:sz w:val="32"/>
          <w:szCs w:val="32"/>
          <w:lang w:val="en-US" w:eastAsia="zh-CN"/>
        </w:rPr>
        <w:t>23448</w:t>
      </w:r>
      <w:r>
        <w:rPr>
          <w:rFonts w:hint="default" w:ascii="Times New Roman" w:hAnsi="Times New Roman" w:eastAsia="仿宋_GB2312" w:cs="Times New Roman"/>
          <w:bCs/>
          <w:color w:val="auto"/>
          <w:sz w:val="32"/>
          <w:szCs w:val="32"/>
          <w:lang w:val="zh-CN"/>
        </w:rPr>
        <w:t>平方米（约合</w:t>
      </w:r>
      <w:r>
        <w:rPr>
          <w:rFonts w:hint="default" w:ascii="Times New Roman" w:hAnsi="Times New Roman" w:eastAsia="仿宋_GB2312" w:cs="Times New Roman"/>
          <w:bCs/>
          <w:color w:val="auto"/>
          <w:sz w:val="32"/>
          <w:szCs w:val="32"/>
          <w:lang w:val="en-US" w:eastAsia="zh-CN"/>
        </w:rPr>
        <w:t>35.17</w:t>
      </w:r>
      <w:r>
        <w:rPr>
          <w:rFonts w:hint="default" w:ascii="Times New Roman" w:hAnsi="Times New Roman" w:eastAsia="仿宋_GB2312" w:cs="Times New Roman"/>
          <w:bCs/>
          <w:color w:val="auto"/>
          <w:sz w:val="32"/>
          <w:szCs w:val="32"/>
          <w:lang w:val="zh-CN"/>
        </w:rPr>
        <w:t>亩）。</w:t>
      </w:r>
      <w:r>
        <w:rPr>
          <w:rFonts w:hint="default" w:ascii="Times New Roman" w:hAnsi="Times New Roman" w:eastAsia="仿宋_GB2312" w:cs="Times New Roman"/>
          <w:color w:val="auto"/>
          <w:sz w:val="32"/>
          <w:szCs w:val="32"/>
        </w:rPr>
        <w:t>规划用途为</w:t>
      </w:r>
      <w:r>
        <w:rPr>
          <w:rFonts w:hint="default" w:ascii="Times New Roman" w:hAnsi="Times New Roman" w:eastAsia="仿宋" w:cs="Times New Roman"/>
          <w:color w:val="000000"/>
          <w:sz w:val="32"/>
          <w:szCs w:val="32"/>
        </w:rPr>
        <w:t>城镇住宅用地</w:t>
      </w:r>
      <w:r>
        <w:rPr>
          <w:rFonts w:hint="default" w:ascii="Times New Roman" w:hAnsi="Times New Roman" w:eastAsia="仿宋_GB2312" w:cs="Times New Roman"/>
          <w:bCs/>
          <w:color w:val="auto"/>
          <w:sz w:val="32"/>
          <w:szCs w:val="32"/>
          <w:lang w:val="zh-CN"/>
        </w:rPr>
        <w:t>。</w:t>
      </w:r>
      <w:r>
        <w:rPr>
          <w:rFonts w:hint="default" w:ascii="Times New Roman" w:hAnsi="Times New Roman" w:eastAsia="仿宋_GB2312" w:cs="Times New Roman"/>
          <w:color w:val="auto"/>
          <w:sz w:val="32"/>
          <w:szCs w:val="32"/>
        </w:rPr>
        <w:t>主要技术指标为：容积率</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val="en-US" w:eastAsia="zh-CN"/>
        </w:rPr>
        <w:t>1.0以上</w:t>
      </w:r>
      <w:r>
        <w:rPr>
          <w:rFonts w:hint="default" w:ascii="Times New Roman" w:hAnsi="Times New Roman" w:eastAsia="仿宋_GB2312" w:cs="Times New Roman"/>
          <w:color w:val="auto"/>
          <w:sz w:val="32"/>
          <w:szCs w:val="32"/>
        </w:rPr>
        <w:t>，建筑密度</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%以下，绿地率</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%以上，建筑高度</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米以下。</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建设内容为</w:t>
      </w:r>
      <w:r>
        <w:rPr>
          <w:rFonts w:hint="default" w:ascii="Times New Roman" w:hAnsi="Times New Roman" w:eastAsia="仿宋_GB2312" w:cs="Times New Roman"/>
          <w:color w:val="auto"/>
          <w:sz w:val="32"/>
          <w:szCs w:val="32"/>
          <w:lang w:eastAsia="zh-CN"/>
        </w:rPr>
        <w:t>住宅及其配套设施</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sz w:val="32"/>
          <w:szCs w:val="32"/>
          <w:lang w:val="en-US" w:eastAsia="zh-CN"/>
        </w:rPr>
        <w:t>3.丰2022-16-1号地块。</w:t>
      </w:r>
      <w:r>
        <w:rPr>
          <w:rFonts w:hint="default" w:ascii="Times New Roman" w:hAnsi="Times New Roman" w:eastAsia="仿宋_GB2312" w:cs="Times New Roman"/>
          <w:sz w:val="32"/>
          <w:szCs w:val="32"/>
        </w:rPr>
        <w:t>该宗</w:t>
      </w:r>
      <w:r>
        <w:rPr>
          <w:rFonts w:hint="default" w:ascii="Times New Roman" w:hAnsi="Times New Roman" w:eastAsia="仿宋_GB2312" w:cs="Times New Roman"/>
          <w:color w:val="auto"/>
          <w:sz w:val="32"/>
          <w:szCs w:val="32"/>
        </w:rPr>
        <w:t>地即</w:t>
      </w:r>
      <w:r>
        <w:rPr>
          <w:rFonts w:hint="default" w:ascii="Times New Roman" w:hAnsi="Times New Roman" w:eastAsia="仿宋_GB2312" w:cs="Times New Roman"/>
          <w:color w:val="auto"/>
          <w:sz w:val="32"/>
          <w:szCs w:val="32"/>
          <w:lang w:val="en-US" w:eastAsia="zh-CN"/>
        </w:rPr>
        <w:t>2022-17-1号</w:t>
      </w:r>
      <w:r>
        <w:rPr>
          <w:rFonts w:hint="default" w:ascii="Times New Roman" w:hAnsi="Times New Roman" w:eastAsia="仿宋_GB2312" w:cs="Times New Roman"/>
          <w:color w:val="auto"/>
          <w:sz w:val="32"/>
          <w:szCs w:val="32"/>
        </w:rPr>
        <w:t>储备用地，位于</w:t>
      </w:r>
      <w:r>
        <w:rPr>
          <w:rFonts w:hint="default" w:ascii="Times New Roman" w:hAnsi="Times New Roman" w:eastAsia="仿宋_GB2312" w:cs="Times New Roman"/>
          <w:color w:val="auto"/>
          <w:sz w:val="32"/>
          <w:szCs w:val="32"/>
          <w:lang w:eastAsia="zh-CN"/>
        </w:rPr>
        <w:t>联丰大街南侧、招联大道西侧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地面积</w:t>
      </w:r>
      <w:r>
        <w:rPr>
          <w:rFonts w:hint="default" w:ascii="Times New Roman" w:hAnsi="Times New Roman" w:eastAsia="仿宋_GB2312" w:cs="Times New Roman"/>
          <w:color w:val="auto"/>
          <w:sz w:val="32"/>
          <w:szCs w:val="32"/>
          <w:lang w:val="en-US" w:eastAsia="zh-CN"/>
        </w:rPr>
        <w:t>1968</w:t>
      </w:r>
      <w:r>
        <w:rPr>
          <w:rFonts w:hint="default" w:ascii="Times New Roman" w:hAnsi="Times New Roman" w:eastAsia="仿宋_GB2312" w:cs="Times New Roman"/>
          <w:bCs/>
          <w:color w:val="auto"/>
          <w:sz w:val="32"/>
          <w:szCs w:val="32"/>
          <w:lang w:val="zh-CN"/>
        </w:rPr>
        <w:t>平方米（约合</w:t>
      </w:r>
      <w:r>
        <w:rPr>
          <w:rFonts w:hint="default" w:ascii="Times New Roman" w:hAnsi="Times New Roman" w:eastAsia="仿宋" w:cs="Times New Roman"/>
          <w:color w:val="auto"/>
          <w:sz w:val="32"/>
          <w:szCs w:val="32"/>
          <w:lang w:val="en-US" w:eastAsia="zh-CN"/>
        </w:rPr>
        <w:t>2.95</w:t>
      </w:r>
      <w:r>
        <w:rPr>
          <w:rFonts w:hint="default" w:ascii="Times New Roman" w:hAnsi="Times New Roman" w:eastAsia="仿宋_GB2312" w:cs="Times New Roman"/>
          <w:bCs/>
          <w:color w:val="auto"/>
          <w:sz w:val="32"/>
          <w:szCs w:val="32"/>
          <w:lang w:val="zh-CN"/>
        </w:rPr>
        <w:t>亩）。</w:t>
      </w:r>
      <w:r>
        <w:rPr>
          <w:rFonts w:hint="default" w:ascii="Times New Roman" w:hAnsi="Times New Roman" w:eastAsia="仿宋_GB2312" w:cs="Times New Roman"/>
          <w:color w:val="auto"/>
          <w:sz w:val="32"/>
          <w:szCs w:val="32"/>
        </w:rPr>
        <w:t>规划用途为</w:t>
      </w:r>
      <w:r>
        <w:rPr>
          <w:rFonts w:hint="default" w:ascii="Times New Roman" w:hAnsi="Times New Roman" w:eastAsia="仿宋_GB2312" w:cs="Times New Roman"/>
          <w:color w:val="auto"/>
          <w:sz w:val="32"/>
          <w:szCs w:val="32"/>
          <w:lang w:eastAsia="zh-CN"/>
        </w:rPr>
        <w:t>二类</w:t>
      </w:r>
      <w:r>
        <w:rPr>
          <w:rFonts w:hint="default" w:ascii="Times New Roman" w:hAnsi="Times New Roman" w:eastAsia="仿宋" w:cs="Times New Roman"/>
          <w:color w:val="000000"/>
          <w:sz w:val="32"/>
          <w:szCs w:val="32"/>
        </w:rPr>
        <w:t>城镇住宅用地</w:t>
      </w:r>
      <w:r>
        <w:rPr>
          <w:rFonts w:hint="default" w:ascii="Times New Roman" w:hAnsi="Times New Roman" w:eastAsia="仿宋_GB2312" w:cs="Times New Roman"/>
          <w:bCs/>
          <w:color w:val="auto"/>
          <w:sz w:val="32"/>
          <w:szCs w:val="32"/>
          <w:lang w:val="zh-CN"/>
        </w:rPr>
        <w:t>。</w:t>
      </w:r>
      <w:r>
        <w:rPr>
          <w:rFonts w:hint="default" w:ascii="Times New Roman" w:hAnsi="Times New Roman" w:eastAsia="仿宋_GB2312" w:cs="Times New Roman"/>
          <w:color w:val="auto"/>
          <w:sz w:val="32"/>
          <w:szCs w:val="32"/>
        </w:rPr>
        <w:t>主要技术指标为：容积率</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val="en-US" w:eastAsia="zh-CN"/>
        </w:rPr>
        <w:t>1.0以上</w:t>
      </w:r>
      <w:r>
        <w:rPr>
          <w:rFonts w:hint="default" w:ascii="Times New Roman" w:hAnsi="Times New Roman" w:eastAsia="仿宋_GB2312" w:cs="Times New Roman"/>
          <w:color w:val="auto"/>
          <w:sz w:val="32"/>
          <w:szCs w:val="32"/>
        </w:rPr>
        <w:t>，建筑密度</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%以下，绿地率</w:t>
      </w:r>
      <w:r>
        <w:rPr>
          <w:rFonts w:hint="default" w:ascii="Times New Roman" w:hAnsi="Times New Roman" w:eastAsia="仿宋_GB2312" w:cs="Times New Roman"/>
          <w:color w:val="auto"/>
          <w:sz w:val="32"/>
          <w:szCs w:val="32"/>
          <w:lang w:val="en-US" w:eastAsia="zh-CN"/>
        </w:rPr>
        <w:t>35</w:t>
      </w:r>
      <w:r>
        <w:rPr>
          <w:rFonts w:hint="default" w:ascii="Times New Roman" w:hAnsi="Times New Roman" w:eastAsia="仿宋_GB2312" w:cs="Times New Roman"/>
          <w:color w:val="auto"/>
          <w:sz w:val="32"/>
          <w:szCs w:val="32"/>
        </w:rPr>
        <w:t>%以上，建筑高度</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米以下。</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建设内容为</w:t>
      </w:r>
      <w:r>
        <w:rPr>
          <w:rFonts w:hint="default" w:ascii="Times New Roman" w:hAnsi="Times New Roman" w:eastAsia="仿宋_GB2312" w:cs="Times New Roman"/>
          <w:color w:val="auto"/>
          <w:sz w:val="32"/>
          <w:szCs w:val="32"/>
          <w:lang w:eastAsia="zh-CN"/>
        </w:rPr>
        <w:t>住宅及公共配套服务设施</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sz w:val="32"/>
          <w:szCs w:val="32"/>
          <w:lang w:val="en-US" w:eastAsia="zh-CN"/>
        </w:rPr>
        <w:t>4.丰2022-17-1号地块。</w:t>
      </w:r>
      <w:r>
        <w:rPr>
          <w:rFonts w:hint="default" w:ascii="Times New Roman" w:hAnsi="Times New Roman" w:eastAsia="仿宋_GB2312" w:cs="Times New Roman"/>
          <w:color w:val="auto"/>
          <w:sz w:val="32"/>
          <w:szCs w:val="32"/>
        </w:rPr>
        <w:t>该宗地即</w:t>
      </w:r>
      <w:r>
        <w:rPr>
          <w:rFonts w:hint="default" w:ascii="Times New Roman" w:hAnsi="Times New Roman" w:eastAsia="仿宋_GB2312" w:cs="Times New Roman"/>
          <w:color w:val="auto"/>
          <w:sz w:val="32"/>
          <w:szCs w:val="32"/>
          <w:lang w:val="en-US" w:eastAsia="zh-CN"/>
        </w:rPr>
        <w:t>2022-18-1号</w:t>
      </w:r>
      <w:r>
        <w:rPr>
          <w:rFonts w:hint="default" w:ascii="Times New Roman" w:hAnsi="Times New Roman" w:eastAsia="仿宋_GB2312" w:cs="Times New Roman"/>
          <w:color w:val="auto"/>
          <w:sz w:val="32"/>
          <w:szCs w:val="32"/>
        </w:rPr>
        <w:t>储备用地，位于</w:t>
      </w:r>
      <w:r>
        <w:rPr>
          <w:rFonts w:hint="default" w:ascii="Times New Roman" w:hAnsi="Times New Roman" w:eastAsia="仿宋_GB2312" w:cs="Times New Roman"/>
          <w:color w:val="auto"/>
          <w:sz w:val="32"/>
          <w:szCs w:val="32"/>
          <w:lang w:eastAsia="zh-CN"/>
        </w:rPr>
        <w:t>招联大道西侧、浦山街北侧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地面积</w:t>
      </w:r>
      <w:r>
        <w:rPr>
          <w:rFonts w:hint="default" w:ascii="Times New Roman" w:hAnsi="Times New Roman" w:eastAsia="仿宋_GB2312" w:cs="Times New Roman"/>
          <w:color w:val="auto"/>
          <w:sz w:val="32"/>
          <w:szCs w:val="32"/>
          <w:lang w:val="en-US" w:eastAsia="zh-CN"/>
        </w:rPr>
        <w:t>2077</w:t>
      </w:r>
      <w:r>
        <w:rPr>
          <w:rFonts w:hint="default" w:ascii="Times New Roman" w:hAnsi="Times New Roman" w:eastAsia="仿宋_GB2312" w:cs="Times New Roman"/>
          <w:bCs/>
          <w:color w:val="auto"/>
          <w:sz w:val="32"/>
          <w:szCs w:val="32"/>
          <w:lang w:val="zh-CN"/>
        </w:rPr>
        <w:t>平方米（约合</w:t>
      </w:r>
      <w:r>
        <w:rPr>
          <w:rFonts w:hint="default" w:ascii="Times New Roman" w:hAnsi="Times New Roman" w:eastAsia="仿宋_GB2312" w:cs="Times New Roman"/>
          <w:bCs/>
          <w:color w:val="auto"/>
          <w:sz w:val="32"/>
          <w:szCs w:val="32"/>
          <w:lang w:val="en-US" w:eastAsia="zh-CN"/>
        </w:rPr>
        <w:t>3.12</w:t>
      </w:r>
      <w:r>
        <w:rPr>
          <w:rFonts w:hint="default" w:ascii="Times New Roman" w:hAnsi="Times New Roman" w:eastAsia="仿宋_GB2312" w:cs="Times New Roman"/>
          <w:bCs/>
          <w:color w:val="auto"/>
          <w:sz w:val="32"/>
          <w:szCs w:val="32"/>
          <w:lang w:val="zh-CN"/>
        </w:rPr>
        <w:t>亩）。</w:t>
      </w:r>
      <w:r>
        <w:rPr>
          <w:rFonts w:hint="default" w:ascii="Times New Roman" w:hAnsi="Times New Roman" w:eastAsia="仿宋_GB2312" w:cs="Times New Roman"/>
          <w:color w:val="auto"/>
          <w:sz w:val="32"/>
          <w:szCs w:val="32"/>
        </w:rPr>
        <w:t>规划用途为</w:t>
      </w:r>
      <w:r>
        <w:rPr>
          <w:rFonts w:hint="default" w:ascii="Times New Roman" w:hAnsi="Times New Roman" w:eastAsia="仿宋_GB2312" w:cs="Times New Roman"/>
          <w:color w:val="auto"/>
          <w:sz w:val="32"/>
          <w:szCs w:val="32"/>
          <w:lang w:eastAsia="zh-CN"/>
        </w:rPr>
        <w:t>二类</w:t>
      </w:r>
      <w:r>
        <w:rPr>
          <w:rFonts w:hint="default" w:ascii="Times New Roman" w:hAnsi="Times New Roman" w:eastAsia="仿宋" w:cs="Times New Roman"/>
          <w:color w:val="auto"/>
          <w:sz w:val="32"/>
          <w:szCs w:val="32"/>
        </w:rPr>
        <w:t>城镇住宅用地</w:t>
      </w:r>
      <w:r>
        <w:rPr>
          <w:rFonts w:hint="default" w:ascii="Times New Roman" w:hAnsi="Times New Roman" w:eastAsia="仿宋_GB2312" w:cs="Times New Roman"/>
          <w:bCs/>
          <w:color w:val="auto"/>
          <w:sz w:val="32"/>
          <w:szCs w:val="32"/>
          <w:lang w:val="zh-CN"/>
        </w:rPr>
        <w:t>。</w:t>
      </w:r>
      <w:r>
        <w:rPr>
          <w:rFonts w:hint="default" w:ascii="Times New Roman" w:hAnsi="Times New Roman" w:eastAsia="仿宋_GB2312" w:cs="Times New Roman"/>
          <w:color w:val="auto"/>
          <w:sz w:val="32"/>
          <w:szCs w:val="32"/>
        </w:rPr>
        <w:t>主要技术指标为：容积率</w:t>
      </w:r>
      <w:r>
        <w:rPr>
          <w:rFonts w:hint="default"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val="en-US" w:eastAsia="zh-CN"/>
        </w:rPr>
        <w:t>1.0以上</w:t>
      </w:r>
      <w:r>
        <w:rPr>
          <w:rFonts w:hint="default" w:ascii="Times New Roman" w:hAnsi="Times New Roman" w:eastAsia="仿宋_GB2312" w:cs="Times New Roman"/>
          <w:color w:val="auto"/>
          <w:sz w:val="32"/>
          <w:szCs w:val="32"/>
        </w:rPr>
        <w:t>，建筑密度</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%以下，绿地率</w:t>
      </w:r>
      <w:r>
        <w:rPr>
          <w:rFonts w:hint="default" w:ascii="Times New Roman" w:hAnsi="Times New Roman" w:eastAsia="仿宋_GB2312" w:cs="Times New Roman"/>
          <w:color w:val="auto"/>
          <w:sz w:val="32"/>
          <w:szCs w:val="32"/>
          <w:lang w:val="en-US" w:eastAsia="zh-CN"/>
        </w:rPr>
        <w:t>35</w:t>
      </w:r>
      <w:r>
        <w:rPr>
          <w:rFonts w:hint="default" w:ascii="Times New Roman" w:hAnsi="Times New Roman" w:eastAsia="仿宋_GB2312" w:cs="Times New Roman"/>
          <w:color w:val="auto"/>
          <w:sz w:val="32"/>
          <w:szCs w:val="32"/>
        </w:rPr>
        <w:t>%以上，建筑高度</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米以下。</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建设内容为</w:t>
      </w:r>
      <w:r>
        <w:rPr>
          <w:rFonts w:hint="default" w:ascii="Times New Roman" w:hAnsi="Times New Roman" w:eastAsia="仿宋_GB2312" w:cs="Times New Roman"/>
          <w:color w:val="auto"/>
          <w:sz w:val="32"/>
          <w:szCs w:val="32"/>
          <w:lang w:eastAsia="zh-CN"/>
        </w:rPr>
        <w:t>住宅及其配套设施</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（二）规划指标和相关要求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firstLineChars="199"/>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上述</w:t>
      </w:r>
      <w:r>
        <w:rPr>
          <w:rFonts w:hint="default" w:ascii="Times New Roman" w:hAnsi="Times New Roman" w:eastAsia="仿宋_GB2312" w:cs="Times New Roman"/>
          <w:color w:val="000000"/>
          <w:sz w:val="32"/>
          <w:szCs w:val="32"/>
        </w:rPr>
        <w:t>地块竞买申请人须具有房地产开发资质。</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36" w:firstLineChars="199"/>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丰202</w:t>
      </w:r>
      <w:r>
        <w:rPr>
          <w:rFonts w:hint="default" w:ascii="Times New Roman" w:hAnsi="Times New Roman"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号地块竞得人须按有关规范要求配套建设相应的公共配套服务设施，包括：</w:t>
      </w:r>
      <w:r>
        <w:rPr>
          <w:rFonts w:hint="default" w:ascii="Times New Roman" w:hAnsi="Times New Roman" w:eastAsia="仿宋_GB2312" w:cs="Times New Roman"/>
          <w:color w:val="000000"/>
          <w:sz w:val="32"/>
          <w:szCs w:val="32"/>
          <w:lang w:eastAsia="zh-CN"/>
        </w:rPr>
        <w:t>社区管理服务站、居家养老服务点</w:t>
      </w:r>
      <w:r>
        <w:rPr>
          <w:rFonts w:hint="default" w:ascii="Times New Roman" w:hAnsi="Times New Roman" w:eastAsia="仿宋_GB2312" w:cs="Times New Roman"/>
          <w:color w:val="000000"/>
          <w:sz w:val="32"/>
          <w:szCs w:val="32"/>
        </w:rPr>
        <w:t>等设施[具体规划要求详见《泉州市自然资源和规划局关于下达</w:t>
      </w:r>
      <w:r>
        <w:rPr>
          <w:rFonts w:hint="default" w:ascii="Times New Roman" w:hAnsi="Times New Roman" w:eastAsia="仿宋_GB2312" w:cs="Times New Roman"/>
          <w:color w:val="000000"/>
          <w:sz w:val="32"/>
          <w:szCs w:val="32"/>
          <w:lang w:val="en-US" w:eastAsia="zh-CN"/>
        </w:rPr>
        <w:t>2025-20</w:t>
      </w:r>
      <w:r>
        <w:rPr>
          <w:rFonts w:hint="default" w:ascii="Times New Roman" w:hAnsi="Times New Roman" w:eastAsia="仿宋_GB2312" w:cs="Times New Roman"/>
          <w:color w:val="000000"/>
          <w:sz w:val="32"/>
          <w:szCs w:val="32"/>
        </w:rPr>
        <w:t>号储备用地规划条件的通知》（泉资规〔202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123</w:t>
      </w:r>
      <w:r>
        <w:rPr>
          <w:rFonts w:hint="default" w:ascii="Times New Roman" w:hAnsi="Times New Roman" w:eastAsia="仿宋_GB2312" w:cs="Times New Roman"/>
          <w:color w:val="000000"/>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000000"/>
          <w:spacing w:val="6"/>
          <w:sz w:val="32"/>
          <w:szCs w:val="32"/>
        </w:rPr>
        <w:t>的有权机构</w:t>
      </w:r>
      <w:r>
        <w:rPr>
          <w:rFonts w:hint="default"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36" w:firstLineChars="199"/>
        <w:textAlignment w:val="auto"/>
        <w:outlineLvl w:val="9"/>
        <w:rPr>
          <w:rFonts w:hint="default" w:ascii="Times New Roman" w:hAnsi="Times New Roman" w:eastAsia="仿宋_GB2312" w:cs="Times New Roman"/>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丰202</w:t>
      </w:r>
      <w:r>
        <w:rPr>
          <w:rFonts w:hint="default" w:ascii="Times New Roman" w:hAnsi="Times New Roman" w:eastAsia="仿宋_GB2312" w:cs="Times New Roman"/>
          <w:sz w:val="32"/>
          <w:szCs w:val="32"/>
          <w:lang w:val="en-US" w:eastAsia="zh-CN"/>
        </w:rPr>
        <w:t>4-13</w:t>
      </w:r>
      <w:r>
        <w:rPr>
          <w:rFonts w:hint="default" w:ascii="Times New Roman" w:hAnsi="Times New Roman" w:eastAsia="仿宋_GB2312" w:cs="Times New Roman"/>
          <w:sz w:val="32"/>
          <w:szCs w:val="32"/>
        </w:rPr>
        <w:t>号地块竞得人须按有关规范要求配套建设相应的公共配套服务设施，包括</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社区管理服务用房、社区医疗服务站、</w:t>
      </w:r>
      <w:r>
        <w:rPr>
          <w:rFonts w:hint="default" w:ascii="Times New Roman" w:hAnsi="Times New Roman" w:eastAsia="仿宋_GB2312" w:cs="Times New Roman"/>
          <w:color w:val="auto"/>
          <w:sz w:val="32"/>
          <w:szCs w:val="32"/>
        </w:rPr>
        <w:t>居家养老服务</w:t>
      </w:r>
      <w:r>
        <w:rPr>
          <w:rFonts w:hint="default" w:ascii="Times New Roman" w:hAnsi="Times New Roman" w:eastAsia="仿宋_GB2312" w:cs="Times New Roman"/>
          <w:color w:val="auto"/>
          <w:sz w:val="32"/>
          <w:szCs w:val="32"/>
          <w:lang w:eastAsia="zh-CN"/>
        </w:rPr>
        <w:t>站</w:t>
      </w:r>
      <w:r>
        <w:rPr>
          <w:rFonts w:hint="default" w:ascii="Times New Roman" w:hAnsi="Times New Roman" w:eastAsia="仿宋_GB2312" w:cs="Times New Roman"/>
          <w:color w:val="auto"/>
          <w:sz w:val="32"/>
          <w:szCs w:val="32"/>
        </w:rPr>
        <w:t>等设施[具体规划要求详见《泉州市自然资源和规划局关于下达</w:t>
      </w:r>
      <w:r>
        <w:rPr>
          <w:rFonts w:hint="default" w:ascii="Times New Roman" w:hAnsi="Times New Roman" w:eastAsia="仿宋_GB2312" w:cs="Times New Roman"/>
          <w:color w:val="auto"/>
          <w:sz w:val="32"/>
          <w:szCs w:val="32"/>
          <w:lang w:val="en-US" w:eastAsia="zh-CN"/>
        </w:rPr>
        <w:t>2021-23</w:t>
      </w:r>
      <w:r>
        <w:rPr>
          <w:rFonts w:hint="default" w:ascii="Times New Roman" w:hAnsi="Times New Roman" w:eastAsia="仿宋_GB2312" w:cs="Times New Roman"/>
          <w:color w:val="auto"/>
          <w:sz w:val="32"/>
          <w:szCs w:val="32"/>
        </w:rPr>
        <w:t>号储备用地规划条件的通知》（泉资规〔202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丰</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000000"/>
          <w:sz w:val="32"/>
          <w:szCs w:val="32"/>
          <w:lang w:val="en-US" w:eastAsia="zh-CN"/>
        </w:rPr>
        <w:t>025-6号</w:t>
      </w:r>
      <w:r>
        <w:rPr>
          <w:rFonts w:hint="default" w:ascii="Times New Roman" w:hAnsi="Times New Roman" w:eastAsia="仿宋_GB2312" w:cs="Times New Roman"/>
          <w:color w:val="000000"/>
          <w:sz w:val="32"/>
          <w:szCs w:val="32"/>
        </w:rPr>
        <w:t>地块竞得人应在与我局签订《国有建设用地使用权出让合同》之日起5个工作日内，与</w:t>
      </w:r>
      <w:r>
        <w:rPr>
          <w:rFonts w:hint="default" w:ascii="Times New Roman" w:hAnsi="Times New Roman" w:eastAsia="仿宋_GB2312" w:cs="Times New Roman"/>
          <w:color w:val="000000"/>
          <w:sz w:val="32"/>
          <w:szCs w:val="32"/>
          <w:lang w:eastAsia="zh-CN"/>
        </w:rPr>
        <w:t>泉州市东海投资管理有限公司</w:t>
      </w:r>
      <w:r>
        <w:rPr>
          <w:rFonts w:hint="default" w:ascii="Times New Roman" w:hAnsi="Times New Roman" w:eastAsia="仿宋_GB2312" w:cs="Times New Roman"/>
          <w:sz w:val="32"/>
          <w:szCs w:val="32"/>
        </w:rPr>
        <w:t>签订</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rPr>
        <w:t>地块</w:t>
      </w:r>
      <w:r>
        <w:rPr>
          <w:rFonts w:hint="default" w:ascii="Times New Roman" w:hAnsi="Times New Roman" w:eastAsia="仿宋_GB2312" w:cs="Times New Roman"/>
          <w:sz w:val="32"/>
          <w:szCs w:val="32"/>
          <w:lang w:eastAsia="zh-CN"/>
        </w:rPr>
        <w:t>定向定价</w:t>
      </w:r>
      <w:r>
        <w:rPr>
          <w:rFonts w:hint="default" w:ascii="Times New Roman" w:hAnsi="Times New Roman" w:eastAsia="仿宋_GB2312" w:cs="Times New Roman"/>
          <w:sz w:val="32"/>
          <w:szCs w:val="32"/>
        </w:rPr>
        <w:t>商品房</w:t>
      </w:r>
      <w:r>
        <w:rPr>
          <w:rFonts w:hint="default" w:ascii="Times New Roman" w:hAnsi="Times New Roman" w:eastAsia="仿宋_GB2312" w:cs="Times New Roman"/>
          <w:sz w:val="32"/>
          <w:szCs w:val="32"/>
          <w:lang w:eastAsia="zh-CN"/>
        </w:rPr>
        <w:t>代购</w:t>
      </w:r>
      <w:r>
        <w:rPr>
          <w:rFonts w:hint="default" w:ascii="Times New Roman" w:hAnsi="Times New Roman" w:eastAsia="仿宋_GB2312" w:cs="Times New Roman"/>
          <w:sz w:val="32"/>
          <w:szCs w:val="32"/>
        </w:rPr>
        <w:t>协议。定向定价商品房</w:t>
      </w:r>
      <w:r>
        <w:rPr>
          <w:rFonts w:hint="default" w:ascii="Times New Roman" w:hAnsi="Times New Roman" w:eastAsia="仿宋_GB2312" w:cs="Times New Roman"/>
          <w:sz w:val="32"/>
          <w:szCs w:val="32"/>
          <w:lang w:eastAsia="zh-CN"/>
        </w:rPr>
        <w:t>住宅</w:t>
      </w:r>
      <w:r>
        <w:rPr>
          <w:rFonts w:hint="default" w:ascii="Times New Roman" w:hAnsi="Times New Roman" w:eastAsia="仿宋_GB2312" w:cs="Times New Roman"/>
          <w:sz w:val="32"/>
          <w:szCs w:val="32"/>
        </w:rPr>
        <w:t>由</w:t>
      </w:r>
      <w:r>
        <w:rPr>
          <w:rFonts w:hint="default" w:ascii="Times New Roman" w:hAnsi="Times New Roman" w:eastAsia="仿宋_GB2312" w:cs="Times New Roman"/>
          <w:color w:val="000000"/>
          <w:sz w:val="32"/>
          <w:szCs w:val="32"/>
          <w:lang w:eastAsia="zh-CN"/>
        </w:rPr>
        <w:t>泉州市东海投资管理有限公司</w:t>
      </w:r>
      <w:r>
        <w:rPr>
          <w:rFonts w:hint="default" w:ascii="Times New Roman" w:hAnsi="Times New Roman" w:eastAsia="仿宋_GB2312" w:cs="Times New Roman"/>
          <w:sz w:val="32"/>
          <w:szCs w:val="32"/>
        </w:rPr>
        <w:t>全部代购，定向定价商品房代购价为</w:t>
      </w:r>
      <w:r>
        <w:rPr>
          <w:rFonts w:hint="default" w:ascii="Times New Roman" w:hAnsi="Times New Roman" w:eastAsia="仿宋_GB2312" w:cs="Times New Roman"/>
          <w:sz w:val="32"/>
          <w:szCs w:val="32"/>
          <w:lang w:val="en-US" w:eastAsia="zh-CN"/>
        </w:rPr>
        <w:t>10447</w:t>
      </w:r>
      <w:r>
        <w:rPr>
          <w:rFonts w:hint="default" w:ascii="Times New Roman" w:hAnsi="Times New Roman" w:eastAsia="仿宋_GB2312" w:cs="Times New Roman"/>
          <w:sz w:val="32"/>
          <w:szCs w:val="32"/>
        </w:rPr>
        <w:t>元/平方米</w:t>
      </w:r>
      <w:r>
        <w:rPr>
          <w:rFonts w:hint="default" w:ascii="Times New Roman" w:hAnsi="Times New Roman" w:eastAsia="仿宋_GB2312" w:cs="Times New Roman"/>
          <w:color w:val="000000"/>
          <w:sz w:val="32"/>
          <w:szCs w:val="32"/>
          <w:lang w:eastAsia="zh-CN"/>
        </w:rPr>
        <w:t>，地下室停车位代购价为16万元/个（标准车位），车位需先预留不少于100个非人防标准车位供泉州市东海投资管理有限公司代购（根据实际需求结算代购个数）。</w:t>
      </w:r>
      <w:r>
        <w:rPr>
          <w:rFonts w:hint="default" w:ascii="Times New Roman" w:hAnsi="Times New Roman" w:eastAsia="仿宋_GB2312" w:cs="Times New Roman"/>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丰2022-16-1号、丰2022-17-1号地块竞得人应在与我局签订《国有建设用地使用权出让合同》之日起5个工作日内，与泉州市住宅建设开发有限公司签订安置型商品房回购协议。住宅由泉州市住宅建设开发有限公司全部回购，住宅回购价为4832元/平方米；车位按需回购，车位回购价为标准位10万元/个，</w:t>
      </w:r>
      <w:r>
        <w:rPr>
          <w:rFonts w:hint="eastAsia" w:ascii="Times New Roman" w:cs="Times New Roman"/>
          <w:color w:val="auto"/>
          <w:sz w:val="32"/>
          <w:szCs w:val="32"/>
          <w:lang w:val="en-US" w:eastAsia="zh-CN"/>
        </w:rPr>
        <w:t>子</w:t>
      </w:r>
      <w:r>
        <w:rPr>
          <w:rFonts w:hint="default" w:ascii="Times New Roman" w:hAnsi="Times New Roman" w:eastAsia="仿宋_GB2312" w:cs="Times New Roman"/>
          <w:color w:val="auto"/>
          <w:sz w:val="32"/>
          <w:szCs w:val="32"/>
          <w:lang w:val="en-US" w:eastAsia="zh-CN"/>
        </w:rPr>
        <w:t>母车位12万元/个。</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lang w:val="en-US" w:eastAsia="zh-CN"/>
        </w:rPr>
      </w:pPr>
      <w:r>
        <w:rPr>
          <w:rFonts w:hint="default"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丰</w:t>
      </w:r>
      <w:r>
        <w:rPr>
          <w:rFonts w:hint="default" w:ascii="Times New Roman" w:hAnsi="Times New Roman" w:eastAsia="仿宋_GB2312" w:cs="Times New Roman"/>
          <w:color w:val="auto"/>
          <w:sz w:val="32"/>
          <w:szCs w:val="32"/>
          <w:lang w:val="en-US" w:eastAsia="zh-CN"/>
        </w:rPr>
        <w:t>2024-13号地块北侧1200米左右规划建设有泉州第五中学华大分校（区属完中）、泉州师范学院附属小学华大分校（区属小学），西南侧200米左右规划有一所区属小学。关于学区划分事宜，需待当年度片区摸底生源数，并结合新建学校投用情况后确定，具体以当年度丰泽区的招生政策为准。</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.丰2024-13号地块在办理商品房预售许可（现售备案）时，优先安排10%的房源套数作为高层次人才房源。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color w:val="auto"/>
          <w:lang w:val="en-US" w:eastAsia="zh-CN"/>
        </w:rPr>
        <w:t>8</w:t>
      </w:r>
      <w:r>
        <w:rPr>
          <w:rFonts w:hint="default" w:ascii="Times New Roman" w:hAnsi="Times New Roman" w:eastAsia="仿宋_GB2312" w:cs="Times New Roman"/>
          <w:color w:val="auto"/>
          <w:lang w:val="en-US" w:eastAsia="zh-CN"/>
        </w:rPr>
        <w:t>.丰2024-13号地块不设住宅最高销售限价，由竞得企业根</w:t>
      </w:r>
      <w:r>
        <w:rPr>
          <w:rFonts w:hint="default" w:ascii="Times New Roman" w:hAnsi="Times New Roman" w:eastAsia="仿宋_GB2312" w:cs="Times New Roman"/>
          <w:color w:val="auto"/>
          <w:kern w:val="2"/>
          <w:sz w:val="32"/>
          <w:szCs w:val="32"/>
          <w:lang w:val="en-US" w:eastAsia="zh-CN" w:bidi="ar-SA"/>
        </w:rPr>
        <w:t>据市场情况自主定价，销售价格接受主管部门指导、监督。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丰2024-13号地块的可销售房源应全部按程序办理预（现）售手续并向社会销售。严禁采取“以房抵债”、股东或特定群体垄断房源、办理自有产权等方式逃避销售，否则住建部门不予办理合同网签备案，产权登记部门不予办理产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上述</w:t>
      </w:r>
      <w:r>
        <w:rPr>
          <w:rFonts w:hint="default" w:ascii="Times New Roman" w:hAnsi="Times New Roman" w:eastAsia="仿宋_GB2312" w:cs="Times New Roman"/>
          <w:color w:val="auto"/>
          <w:sz w:val="32"/>
          <w:szCs w:val="32"/>
        </w:rPr>
        <w:t>地块竞买人提交竞买申请书时应同时提交竞买保证金，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退还；若竞买人已签订《国有建设用地使用权出让合同》，则《国有建设用地使用权出让合同》一并解除，已缴纳的土地出让价款不予退还。</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.上述地块由非泉州市丰泽区的法人竞得的，须在泉州市丰泽区注册成立新公司，所有税收应在当地缴纳。</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12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00"/>
          <w:sz w:val="32"/>
          <w:szCs w:val="32"/>
        </w:rPr>
        <w:t>丰202</w:t>
      </w:r>
      <w:r>
        <w:rPr>
          <w:rFonts w:hint="default" w:ascii="Times New Roman" w:hAnsi="Times New Roman"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号</w:t>
      </w:r>
      <w:r>
        <w:rPr>
          <w:rFonts w:hint="default" w:ascii="Times New Roman" w:hAnsi="Times New Roman" w:cs="Times New Roman"/>
          <w:color w:val="000000"/>
          <w:sz w:val="32"/>
          <w:szCs w:val="32"/>
          <w:lang w:eastAsia="zh-CN"/>
        </w:rPr>
        <w:t>、丰</w:t>
      </w:r>
      <w:r>
        <w:rPr>
          <w:rFonts w:hint="default" w:ascii="Times New Roman" w:hAnsi="Times New Roman" w:cs="Times New Roman"/>
          <w:color w:val="000000"/>
          <w:sz w:val="32"/>
          <w:szCs w:val="32"/>
          <w:lang w:val="en-US" w:eastAsia="zh-CN"/>
        </w:rPr>
        <w:t>2024-13号</w:t>
      </w:r>
      <w:r>
        <w:rPr>
          <w:rFonts w:hint="default" w:ascii="Times New Roman" w:hAnsi="Times New Roman" w:eastAsia="仿宋_GB2312" w:cs="Times New Roman"/>
          <w:color w:val="auto"/>
          <w:sz w:val="32"/>
          <w:szCs w:val="32"/>
        </w:rPr>
        <w:t>地块</w:t>
      </w:r>
      <w:r>
        <w:rPr>
          <w:rFonts w:hint="default" w:ascii="Times New Roman" w:hAnsi="Times New Roman" w:cs="Times New Roman"/>
          <w:color w:val="auto"/>
          <w:sz w:val="32"/>
          <w:szCs w:val="32"/>
          <w:lang w:eastAsia="zh-CN"/>
        </w:rPr>
        <w:t>应</w:t>
      </w:r>
      <w:r>
        <w:rPr>
          <w:rFonts w:hint="default" w:ascii="Times New Roman" w:hAnsi="Times New Roman" w:eastAsia="仿宋_GB2312" w:cs="Times New Roman"/>
          <w:color w:val="auto"/>
          <w:sz w:val="32"/>
          <w:szCs w:val="32"/>
        </w:rPr>
        <w:t>按照《泉州市人民政府办公室关于印发泉州市2023年促进房地产市场平稳健康发展工作方案的通知》（泉政办〔2023〕11号）要求，充电桩车位配建比例不低于50%。按照《泉州市住房和城乡建设局等4部门关于规范住宅小区电动汽车充电设施建设管理的通知》（泉建规〔2023〕3号）要求，严格落实新建住宅小区固定车位100%建设充电设施或预留安装条件，预留安装条件时需将管线（含低压电缆、电缆分支箱、计量表箱）和桥架等供电设施建设到车位，以满足直接装表接电需求。根据《泉州市人民政府办公室关于印发泉州市电动自行车安全隐患全链条整治行动实施方案的通知》（泉政办〔2024〕17号）要求，严格新建居住项目规划审批管理，将电动自行车停放充电设施纳入项目配套。</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13</w:t>
      </w:r>
      <w:r>
        <w:rPr>
          <w:rFonts w:hint="default" w:ascii="Times New Roman" w:hAnsi="Times New Roman" w:eastAsia="仿宋_GB2312" w:cs="Times New Roman"/>
          <w:color w:val="auto"/>
          <w:sz w:val="32"/>
          <w:szCs w:val="32"/>
        </w:rPr>
        <w:t>.按照《泉州市住房和城乡建设局等三部门关于加快推动新型建筑工业化发展的通知》（泉建规〔2022〕3号）要求，</w:t>
      </w:r>
      <w:r>
        <w:rPr>
          <w:rFonts w:hint="default" w:ascii="Times New Roman" w:hAnsi="Times New Roman" w:eastAsia="仿宋_GB2312" w:cs="Times New Roman"/>
          <w:color w:val="000000"/>
          <w:sz w:val="32"/>
          <w:szCs w:val="32"/>
        </w:rPr>
        <w:t>丰202</w:t>
      </w:r>
      <w:r>
        <w:rPr>
          <w:rFonts w:hint="default" w:ascii="Times New Roman" w:hAnsi="Times New Roman"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号</w:t>
      </w:r>
      <w:r>
        <w:rPr>
          <w:rFonts w:hint="default" w:ascii="Times New Roman" w:hAnsi="Times New Roman" w:cs="Times New Roman"/>
          <w:color w:val="000000"/>
          <w:sz w:val="32"/>
          <w:szCs w:val="32"/>
          <w:lang w:eastAsia="zh-CN"/>
        </w:rPr>
        <w:t>、丰</w:t>
      </w:r>
      <w:r>
        <w:rPr>
          <w:rFonts w:hint="default" w:ascii="Times New Roman" w:hAnsi="Times New Roman" w:cs="Times New Roman"/>
          <w:color w:val="000000"/>
          <w:sz w:val="32"/>
          <w:szCs w:val="32"/>
          <w:lang w:val="en-US" w:eastAsia="zh-CN"/>
        </w:rPr>
        <w:t>2024-13号</w:t>
      </w:r>
      <w:r>
        <w:rPr>
          <w:rFonts w:hint="default" w:ascii="Times New Roman" w:hAnsi="Times New Roman" w:eastAsia="仿宋_GB2312" w:cs="Times New Roman"/>
          <w:color w:val="auto"/>
          <w:sz w:val="32"/>
          <w:szCs w:val="32"/>
        </w:rPr>
        <w:t>地块的装配式建筑应占新建建筑面积40%以上。</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14</w:t>
      </w:r>
      <w:r>
        <w:rPr>
          <w:rFonts w:hint="default" w:ascii="Times New Roman" w:hAnsi="Times New Roman" w:eastAsia="仿宋_GB2312" w:cs="Times New Roman"/>
          <w:color w:val="auto"/>
          <w:sz w:val="32"/>
          <w:szCs w:val="32"/>
        </w:rPr>
        <w:t>.按照《泉州市人民政府关于印发泉州市促进房地产市场持续健康稳定发展若干意见（2018—2025年）的通知》（泉政文〔2018〕87号）要求，</w:t>
      </w:r>
      <w:r>
        <w:rPr>
          <w:rFonts w:hint="default" w:ascii="Times New Roman" w:hAnsi="Times New Roman" w:eastAsia="仿宋_GB2312" w:cs="Times New Roman"/>
          <w:color w:val="000000"/>
          <w:sz w:val="32"/>
          <w:szCs w:val="32"/>
        </w:rPr>
        <w:t>丰202</w:t>
      </w:r>
      <w:r>
        <w:rPr>
          <w:rFonts w:hint="default" w:ascii="Times New Roman" w:hAnsi="Times New Roman"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号</w:t>
      </w:r>
      <w:r>
        <w:rPr>
          <w:rFonts w:hint="default" w:ascii="Times New Roman" w:hAnsi="Times New Roman" w:cs="Times New Roman"/>
          <w:color w:val="000000"/>
          <w:sz w:val="32"/>
          <w:szCs w:val="32"/>
          <w:lang w:eastAsia="zh-CN"/>
        </w:rPr>
        <w:t>、丰</w:t>
      </w:r>
      <w:r>
        <w:rPr>
          <w:rFonts w:hint="default" w:ascii="Times New Roman" w:hAnsi="Times New Roman" w:cs="Times New Roman"/>
          <w:color w:val="000000"/>
          <w:sz w:val="32"/>
          <w:szCs w:val="32"/>
          <w:lang w:val="en-US" w:eastAsia="zh-CN"/>
        </w:rPr>
        <w:t>2024-13号</w:t>
      </w:r>
      <w:r>
        <w:rPr>
          <w:rFonts w:hint="default" w:ascii="Times New Roman" w:hAnsi="Times New Roman" w:eastAsia="仿宋_GB2312" w:cs="Times New Roman"/>
          <w:color w:val="auto"/>
          <w:sz w:val="32"/>
          <w:szCs w:val="32"/>
        </w:rPr>
        <w:t>地块的建筑单体质量要求达到泉州市优质工程及以上。</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15</w:t>
      </w:r>
      <w:r>
        <w:rPr>
          <w:rFonts w:hint="default" w:ascii="Times New Roman" w:hAnsi="Times New Roman" w:eastAsia="仿宋_GB2312" w:cs="Times New Roman"/>
          <w:color w:val="auto"/>
          <w:sz w:val="32"/>
          <w:szCs w:val="32"/>
        </w:rPr>
        <w:t>.按照《泉州市人民政府办公室转发泉州市住房和城乡建设局 泉州市自然资源和规划局关于加强新建商品住宅及商办类建筑建设管理的通知》（泉政办明传〔2021〕75号）要求，</w:t>
      </w:r>
      <w:r>
        <w:rPr>
          <w:rFonts w:hint="default" w:ascii="Times New Roman" w:hAnsi="Times New Roman" w:eastAsia="仿宋_GB2312" w:cs="Times New Roman"/>
          <w:color w:val="000000"/>
          <w:sz w:val="32"/>
          <w:szCs w:val="32"/>
        </w:rPr>
        <w:t>丰202</w:t>
      </w:r>
      <w:r>
        <w:rPr>
          <w:rFonts w:hint="default" w:ascii="Times New Roman" w:hAnsi="Times New Roman"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号</w:t>
      </w:r>
      <w:r>
        <w:rPr>
          <w:rFonts w:hint="default" w:ascii="Times New Roman" w:hAnsi="Times New Roman" w:cs="Times New Roman"/>
          <w:color w:val="000000"/>
          <w:sz w:val="32"/>
          <w:szCs w:val="32"/>
          <w:lang w:eastAsia="zh-CN"/>
        </w:rPr>
        <w:t>、丰</w:t>
      </w:r>
      <w:r>
        <w:rPr>
          <w:rFonts w:hint="default" w:ascii="Times New Roman" w:hAnsi="Times New Roman" w:cs="Times New Roman"/>
          <w:color w:val="000000"/>
          <w:sz w:val="32"/>
          <w:szCs w:val="32"/>
          <w:lang w:val="en-US" w:eastAsia="zh-CN"/>
        </w:rPr>
        <w:t>2024-13号</w:t>
      </w:r>
      <w:r>
        <w:rPr>
          <w:rFonts w:hint="default" w:ascii="Times New Roman" w:hAnsi="Times New Roman" w:eastAsia="仿宋_GB2312" w:cs="Times New Roman"/>
          <w:color w:val="auto"/>
          <w:sz w:val="32"/>
          <w:szCs w:val="32"/>
        </w:rPr>
        <w:t>地块开发建设应符合《新建商品住宅建设品质提升事项》。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五、竞买人资格</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竞买申请人应当单独申请，同一企业及其控股的各个公司，不得参与同一宗地的竞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交纳竞买保证金的截止时间为202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cs="Times New Roman"/>
          <w:color w:val="auto"/>
          <w:szCs w:val="32"/>
          <w:lang w:val="en-US" w:eastAsia="zh-CN"/>
        </w:rPr>
        <w:t>7</w:t>
      </w:r>
      <w:r>
        <w:rPr>
          <w:rFonts w:hint="default" w:ascii="Times New Roman" w:hAnsi="Times New Roman" w:eastAsia="仿宋_GB2312" w:cs="Times New Roman"/>
          <w:color w:val="auto"/>
          <w:szCs w:val="32"/>
        </w:rPr>
        <w:t>月</w:t>
      </w:r>
      <w:r>
        <w:rPr>
          <w:rFonts w:hint="default" w:ascii="Times New Roman" w:hAnsi="Times New Roman" w:cs="Times New Roman"/>
          <w:color w:val="auto"/>
          <w:szCs w:val="32"/>
          <w:lang w:val="en-US" w:eastAsia="zh-CN"/>
        </w:rPr>
        <w:t>17</w:t>
      </w:r>
      <w:r>
        <w:rPr>
          <w:rFonts w:hint="default" w:ascii="Times New Roman" w:hAnsi="Times New Roman" w:eastAsia="仿宋_GB2312" w:cs="Times New Roman"/>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lang w:eastAsia="zh-CN"/>
        </w:rPr>
      </w:pPr>
      <w:r>
        <w:rPr>
          <w:rFonts w:hint="default" w:ascii="Times New Roman" w:hAnsi="Times New Roman" w:cs="Times New Roman"/>
          <w:color w:val="auto"/>
          <w:szCs w:val="32"/>
          <w:lang w:val="en-US" w:eastAsia="zh-CN"/>
        </w:rPr>
        <w:t>丰2025-6号</w:t>
      </w:r>
      <w:r>
        <w:rPr>
          <w:rFonts w:hint="default" w:ascii="Times New Roman" w:hAnsi="Times New Roman" w:eastAsia="仿宋_GB2312" w:cs="Times New Roman"/>
          <w:color w:val="auto"/>
          <w:szCs w:val="32"/>
        </w:rPr>
        <w:t>地块的竞买保证金为人民币（大写）</w:t>
      </w:r>
      <w:r>
        <w:rPr>
          <w:rFonts w:hint="default" w:ascii="Times New Roman" w:hAnsi="Times New Roman" w:cs="Times New Roman"/>
          <w:color w:val="auto"/>
          <w:szCs w:val="32"/>
          <w:lang w:eastAsia="zh-CN"/>
        </w:rPr>
        <w:t>陆仟万元</w:t>
      </w:r>
      <w:r>
        <w:rPr>
          <w:rFonts w:hint="default" w:ascii="Times New Roman" w:hAnsi="Times New Roman" w:eastAsia="仿宋_GB2312" w:cs="Times New Roman"/>
          <w:color w:val="auto"/>
          <w:szCs w:val="32"/>
        </w:rPr>
        <w:t>整（</w:t>
      </w:r>
      <w:r>
        <w:rPr>
          <w:rFonts w:hint="default" w:ascii="Times New Roman" w:hAnsi="Times New Roman" w:cs="Times New Roman"/>
          <w:color w:val="auto"/>
          <w:szCs w:val="32"/>
          <w:lang w:val="en-US" w:eastAsia="zh-CN"/>
        </w:rPr>
        <w:t>¥60</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00,000.00</w:t>
      </w:r>
      <w:r>
        <w:rPr>
          <w:rFonts w:hint="default" w:ascii="Times New Roman" w:hAnsi="Times New Roman" w:eastAsia="仿宋_GB2312" w:cs="Times New Roman"/>
          <w:color w:val="auto"/>
          <w:szCs w:val="32"/>
        </w:rPr>
        <w:t>）</w:t>
      </w:r>
      <w:r>
        <w:rPr>
          <w:rFonts w:hint="default" w:ascii="Times New Roman" w:hAnsi="Times New Roman"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auto"/>
          <w:szCs w:val="32"/>
          <w:lang w:eastAsia="zh-CN"/>
        </w:rPr>
      </w:pPr>
      <w:r>
        <w:rPr>
          <w:rFonts w:hint="default" w:ascii="Times New Roman" w:hAnsi="Times New Roman" w:cs="Times New Roman"/>
          <w:color w:val="auto"/>
          <w:szCs w:val="32"/>
          <w:lang w:val="en-US" w:eastAsia="zh-CN"/>
        </w:rPr>
        <w:t>丰2024-13号</w:t>
      </w:r>
      <w:r>
        <w:rPr>
          <w:rFonts w:hint="default" w:ascii="Times New Roman" w:hAnsi="Times New Roman" w:eastAsia="仿宋_GB2312" w:cs="Times New Roman"/>
          <w:color w:val="auto"/>
          <w:szCs w:val="32"/>
        </w:rPr>
        <w:t>地块的竞买保证金为人民币（大写）</w:t>
      </w:r>
      <w:r>
        <w:rPr>
          <w:rFonts w:hint="default" w:ascii="Times New Roman" w:hAnsi="Times New Roman" w:cs="Times New Roman"/>
          <w:color w:val="auto"/>
          <w:szCs w:val="32"/>
          <w:lang w:eastAsia="zh-CN"/>
        </w:rPr>
        <w:t>捌仟叁佰万元</w:t>
      </w:r>
      <w:r>
        <w:rPr>
          <w:rFonts w:hint="default" w:ascii="Times New Roman" w:hAnsi="Times New Roman" w:eastAsia="仿宋_GB2312" w:cs="Times New Roman"/>
          <w:color w:val="auto"/>
          <w:szCs w:val="32"/>
        </w:rPr>
        <w:t>整（</w:t>
      </w:r>
      <w:r>
        <w:rPr>
          <w:rFonts w:hint="default" w:ascii="Times New Roman" w:hAnsi="Times New Roman" w:cs="Times New Roman"/>
          <w:color w:val="auto"/>
          <w:szCs w:val="32"/>
          <w:lang w:val="en-US" w:eastAsia="zh-CN"/>
        </w:rPr>
        <w:t>¥83</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00,000.00</w:t>
      </w:r>
      <w:r>
        <w:rPr>
          <w:rFonts w:hint="default" w:ascii="Times New Roman" w:hAnsi="Times New Roman" w:eastAsia="仿宋_GB2312" w:cs="Times New Roman"/>
          <w:color w:val="auto"/>
          <w:szCs w:val="32"/>
        </w:rPr>
        <w:t>）</w:t>
      </w:r>
      <w:r>
        <w:rPr>
          <w:rFonts w:hint="default" w:ascii="Times New Roman" w:hAnsi="Times New Roman"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szCs w:val="32"/>
          <w:lang w:val="en-US" w:eastAsia="zh-CN"/>
        </w:rPr>
        <w:t>丰2022-16-1号</w:t>
      </w:r>
      <w:r>
        <w:rPr>
          <w:rFonts w:hint="default" w:ascii="Times New Roman" w:hAnsi="Times New Roman" w:eastAsia="仿宋_GB2312" w:cs="Times New Roman"/>
          <w:color w:val="auto"/>
          <w:szCs w:val="32"/>
        </w:rPr>
        <w:t>地块的竞买保证金为人民币（大写）</w:t>
      </w:r>
      <w:r>
        <w:rPr>
          <w:rFonts w:hint="default" w:ascii="Times New Roman" w:hAnsi="Times New Roman" w:cs="Times New Roman"/>
          <w:color w:val="auto"/>
          <w:szCs w:val="32"/>
          <w:lang w:eastAsia="zh-CN"/>
        </w:rPr>
        <w:t>叁佰万元</w:t>
      </w:r>
      <w:r>
        <w:rPr>
          <w:rFonts w:hint="default" w:ascii="Times New Roman" w:hAnsi="Times New Roman" w:eastAsia="仿宋_GB2312" w:cs="Times New Roman"/>
          <w:color w:val="auto"/>
          <w:szCs w:val="32"/>
        </w:rPr>
        <w:t>整（</w:t>
      </w:r>
      <w:r>
        <w:rPr>
          <w:rFonts w:hint="default" w:ascii="Times New Roman" w:hAnsi="Times New Roman" w:cs="Times New Roman"/>
          <w:color w:val="auto"/>
          <w:szCs w:val="32"/>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00,000.00</w:t>
      </w:r>
      <w:r>
        <w:rPr>
          <w:rFonts w:hint="default" w:ascii="Times New Roman" w:hAnsi="Times New Roman" w:eastAsia="仿宋_GB2312" w:cs="Times New Roman"/>
          <w:color w:val="auto"/>
          <w:szCs w:val="32"/>
        </w:rPr>
        <w:t>）</w:t>
      </w:r>
      <w:r>
        <w:rPr>
          <w:rFonts w:hint="default" w:ascii="Times New Roman" w:hAnsi="Times New Roman"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color w:val="auto"/>
          <w:szCs w:val="32"/>
          <w:lang w:val="en-US" w:eastAsia="zh-CN"/>
        </w:rPr>
        <w:t>丰2022-17-1号</w:t>
      </w:r>
      <w:r>
        <w:rPr>
          <w:rFonts w:hint="default" w:ascii="Times New Roman" w:hAnsi="Times New Roman" w:eastAsia="仿宋_GB2312" w:cs="Times New Roman"/>
          <w:color w:val="auto"/>
          <w:szCs w:val="32"/>
        </w:rPr>
        <w:t>地块的竞买保证金为人民币（大写）</w:t>
      </w:r>
      <w:r>
        <w:rPr>
          <w:rFonts w:hint="default" w:ascii="Times New Roman" w:hAnsi="Times New Roman" w:cs="Times New Roman"/>
          <w:color w:val="auto"/>
          <w:szCs w:val="32"/>
          <w:lang w:eastAsia="zh-CN"/>
        </w:rPr>
        <w:t>叁佰万元</w:t>
      </w:r>
      <w:r>
        <w:rPr>
          <w:rFonts w:hint="default" w:ascii="Times New Roman" w:hAnsi="Times New Roman" w:eastAsia="仿宋_GB2312" w:cs="Times New Roman"/>
          <w:color w:val="auto"/>
          <w:szCs w:val="32"/>
        </w:rPr>
        <w:t>整（</w:t>
      </w:r>
      <w:r>
        <w:rPr>
          <w:rFonts w:hint="default" w:ascii="Times New Roman" w:hAnsi="Times New Roman" w:cs="Times New Roman"/>
          <w:color w:val="auto"/>
          <w:szCs w:val="32"/>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00,000.00</w:t>
      </w:r>
      <w:r>
        <w:rPr>
          <w:rFonts w:hint="default" w:ascii="Times New Roman" w:hAnsi="Times New Roman" w:eastAsia="仿宋_GB2312" w:cs="Times New Roman"/>
          <w:color w:val="auto"/>
          <w:szCs w:val="32"/>
        </w:rPr>
        <w:t>）</w:t>
      </w:r>
      <w:r>
        <w:rPr>
          <w:rFonts w:hint="default" w:ascii="Times New Roman" w:hAnsi="Times New Roman" w:cs="Times New Roman"/>
          <w:color w:val="auto"/>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六、申请和资格审查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（一）拍卖出让文件索取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竞买人可于202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cs="Times New Roman"/>
          <w:color w:val="auto"/>
          <w:szCs w:val="32"/>
          <w:lang w:val="en-US" w:eastAsia="zh-CN"/>
        </w:rPr>
        <w:t>6</w:t>
      </w:r>
      <w:r>
        <w:rPr>
          <w:rFonts w:hint="default" w:ascii="Times New Roman" w:hAnsi="Times New Roman" w:eastAsia="仿宋_GB2312" w:cs="Times New Roman"/>
          <w:color w:val="auto"/>
          <w:szCs w:val="32"/>
        </w:rPr>
        <w:t>月</w:t>
      </w:r>
      <w:r>
        <w:rPr>
          <w:rFonts w:hint="default" w:ascii="Times New Roman" w:hAnsi="Times New Roman" w:cs="Times New Roman"/>
          <w:color w:val="auto"/>
          <w:szCs w:val="32"/>
          <w:lang w:val="en-US" w:eastAsia="zh-CN"/>
        </w:rPr>
        <w:t>30</w:t>
      </w:r>
      <w:r>
        <w:rPr>
          <w:rFonts w:hint="default" w:ascii="Times New Roman" w:hAnsi="Times New Roman" w:eastAsia="仿宋_GB2312" w:cs="Times New Roman"/>
          <w:color w:val="auto"/>
          <w:szCs w:val="32"/>
        </w:rPr>
        <w:t>日至202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cs="Times New Roman"/>
          <w:color w:val="auto"/>
          <w:szCs w:val="32"/>
          <w:lang w:val="en-US" w:eastAsia="zh-CN"/>
        </w:rPr>
        <w:t>7</w:t>
      </w:r>
      <w:r>
        <w:rPr>
          <w:rFonts w:hint="default" w:ascii="Times New Roman" w:hAnsi="Times New Roman" w:eastAsia="仿宋_GB2312" w:cs="Times New Roman"/>
          <w:color w:val="auto"/>
          <w:szCs w:val="32"/>
        </w:rPr>
        <w:t>月</w:t>
      </w:r>
      <w:r>
        <w:rPr>
          <w:rFonts w:hint="default" w:ascii="Times New Roman" w:hAnsi="Times New Roman" w:cs="Times New Roman"/>
          <w:color w:val="auto"/>
          <w:szCs w:val="32"/>
          <w:lang w:val="en-US" w:eastAsia="zh-CN"/>
        </w:rPr>
        <w:t>17</w:t>
      </w:r>
      <w:r>
        <w:rPr>
          <w:rFonts w:hint="default" w:ascii="Times New Roman" w:hAnsi="Times New Roman" w:eastAsia="仿宋_GB2312" w:cs="Times New Roman"/>
          <w:color w:val="auto"/>
          <w:szCs w:val="32"/>
        </w:rPr>
        <w:t>日，到泉州市丰泽区海星街100号东海大厦A幢市政务服务中心4楼450室购买索取本次拍卖出让文件，具体包括：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1.国有建设用地使用权出让公告(泉自然资告字〔202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w:t>
      </w:r>
      <w:r>
        <w:rPr>
          <w:rFonts w:hint="default" w:ascii="Times New Roman" w:hAnsi="Times New Roman" w:cs="Times New Roman"/>
          <w:color w:val="auto"/>
          <w:szCs w:val="32"/>
          <w:lang w:val="en-US" w:eastAsia="zh-CN"/>
        </w:rPr>
        <w:t>10</w:t>
      </w:r>
      <w:r>
        <w:rPr>
          <w:rFonts w:hint="default" w:ascii="Times New Roman" w:hAnsi="Times New Roman" w:eastAsia="仿宋_GB2312" w:cs="Times New Roman"/>
          <w:color w:val="auto"/>
          <w:szCs w:val="32"/>
        </w:rPr>
        <w:t>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2.国有建设用地使用权拍卖出让须知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3.泉州市自然资源和规划局规划设计条件文件（复印件）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4.竞买申请书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5.竞买承诺书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6.法定代表人身份证明书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7.授权委托书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8.竞买资格确认书（样本）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9.成交确认书（样本）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10.地块宗地图（复印件）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11.泉州市自然资源和规划局用地红线图（复印件）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12</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《住宅用地竞买保证金、成交价款来源情况申报表》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FF0000"/>
          <w:szCs w:val="32"/>
          <w:lang w:val="en-US" w:eastAsia="zh-CN"/>
        </w:rPr>
      </w:pPr>
      <w:r>
        <w:rPr>
          <w:rFonts w:hint="default" w:ascii="Times New Roman" w:hAnsi="Times New Roman" w:eastAsia="仿宋_GB2312" w:cs="Times New Roman"/>
          <w:color w:val="auto"/>
          <w:szCs w:val="32"/>
          <w:lang w:val="en-US" w:eastAsia="zh-CN"/>
        </w:rPr>
        <w:t>13.地块相关安置型商品房代购、回购协议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（二）提交申请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竞买人应于202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cs="Times New Roman"/>
          <w:color w:val="auto"/>
          <w:szCs w:val="32"/>
          <w:lang w:val="en-US" w:eastAsia="zh-CN"/>
        </w:rPr>
        <w:t>7</w:t>
      </w:r>
      <w:r>
        <w:rPr>
          <w:rFonts w:hint="default" w:ascii="Times New Roman" w:hAnsi="Times New Roman" w:eastAsia="仿宋_GB2312" w:cs="Times New Roman"/>
          <w:color w:val="auto"/>
          <w:szCs w:val="32"/>
        </w:rPr>
        <w:t>月</w:t>
      </w:r>
      <w:r>
        <w:rPr>
          <w:rFonts w:hint="default" w:ascii="Times New Roman" w:hAnsi="Times New Roman" w:cs="Times New Roman"/>
          <w:color w:val="auto"/>
          <w:szCs w:val="32"/>
          <w:lang w:val="en-US" w:eastAsia="zh-CN"/>
        </w:rPr>
        <w:t>17</w:t>
      </w:r>
      <w:r>
        <w:rPr>
          <w:rFonts w:hint="default" w:ascii="Times New Roman" w:hAnsi="Times New Roman" w:eastAsia="仿宋_GB2312" w:cs="Times New Roman"/>
          <w:color w:val="auto"/>
          <w:szCs w:val="32"/>
        </w:rPr>
        <w:t>日17时前，到泉州市丰泽区海星街100号东海大厦A幢市政务服务中心4楼450室提交书面申请（不接受邮寄、电子邮件及口头竞买报名），</w:t>
      </w:r>
      <w:r>
        <w:rPr>
          <w:rFonts w:hint="default" w:ascii="Times New Roman" w:hAnsi="Times New Roman" w:eastAsia="仿宋_GB2312" w:cs="Times New Roman"/>
          <w:b/>
          <w:color w:val="auto"/>
          <w:szCs w:val="32"/>
        </w:rPr>
        <w:t>所有申请文件必须为正本一式二份。</w:t>
      </w:r>
      <w:r>
        <w:rPr>
          <w:rFonts w:hint="default" w:ascii="Times New Roman" w:hAnsi="Times New Roman" w:eastAsia="仿宋_GB2312" w:cs="Times New Roman"/>
          <w:color w:val="auto"/>
          <w:szCs w:val="32"/>
        </w:rPr>
        <w:t>申请文件包括：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1．法人申请的，应提交下列文件：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（1）竞买申请书；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（2）竞买承诺书；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（3）《住宅用地竞买保证金、成交价款来源情况申报表》；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（4）法人单位有效证明文件；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（5）法定代表人身份证明书；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（6）竞买人委托他人办理的，应提交授权委托书及委托代理人的有效身份证明文件；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（7）竞买保证金交纳凭证；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（8）拍卖文件规定需要提交的其他文件。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2．其他组织申请的，应提交下列文件：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（1）竞买申请书；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（2）竞买承诺书；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（3）《住宅用地竞买保证金、成交价款来源情况申报表》；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（4）表明该组织合法存在的文件或有效证明；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（5）表明该组织负责人身份的有效证明文件；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（6）申请人委托他人办理的，应提交授权委托书及委托代理人的身份证明文件；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（7）竞买保证金交纳凭证；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（8）拍卖文件规定需要提交的其他文件。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3．境外申请人申请的，应提交下列文件：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（1）竞买申请书；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（2）竞买承诺书；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（3）《住宅用地竞买保证金、成交价款来源情况申报表》；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（4）境外法人、自然人、其他组织的有效身份证明文件；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（5）申请人委托他人办理的，应提交经公证的授权委托书及委托代理人的有效身份证明文件；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（6）竞买保证金交纳凭证；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（7）拍卖文件规定需要提交的其他文件。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上述文件中，申请书必须用中文书写，其他文件可以使用其他语言，但必须附中文译本，所有文件的解释以中文译本为准。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（三）资格审查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受我局委托，由泉州市产权交易中心有限公司负责对拍卖出让公告规定的时间内收到的申请进行资格审查。竞买人按规定交纳竞买保证金、通过资格审查的，方能取得竞买资格。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经审查，有下列情形之一的，为无效申请：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1.竞买人不具备竞买资格的；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2.未按规定交纳竞买保证金的；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3.申请文件不齐全或不符合规定的；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4.委托他人代理，委托文件不齐全或不符合规定的；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5.竞买人违反《竞买承诺书》中约定的；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6.法律法规规定的其他情形。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（四）确认竞买人资格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经审查，竞买人按规定交纳竞买保证金、具备申请条件的，泉州市产权交易中心有限公司将在报名结束后确认其竞买资格，发给《竞买资格确认书》。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（五）答疑及现场踏勘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竞买人对拍卖出让文件有疑问的，可以在拍卖会开始前以书面或者口头方式向我局咨询。我局于202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cs="Times New Roman"/>
          <w:color w:val="auto"/>
          <w:szCs w:val="32"/>
          <w:lang w:val="en-US" w:eastAsia="zh-CN"/>
        </w:rPr>
        <w:t>7</w:t>
      </w:r>
      <w:r>
        <w:rPr>
          <w:rFonts w:hint="default" w:ascii="Times New Roman" w:hAnsi="Times New Roman" w:eastAsia="仿宋_GB2312" w:cs="Times New Roman"/>
          <w:color w:val="auto"/>
          <w:szCs w:val="32"/>
        </w:rPr>
        <w:t>月</w:t>
      </w:r>
      <w:r>
        <w:rPr>
          <w:rFonts w:hint="default" w:ascii="Times New Roman" w:hAnsi="Times New Roman" w:cs="Times New Roman"/>
          <w:color w:val="auto"/>
          <w:szCs w:val="32"/>
          <w:lang w:val="en-US" w:eastAsia="zh-CN"/>
        </w:rPr>
        <w:t>3</w:t>
      </w:r>
      <w:r>
        <w:rPr>
          <w:rFonts w:hint="default" w:ascii="Times New Roman" w:hAnsi="Times New Roman" w:eastAsia="仿宋_GB2312" w:cs="Times New Roman"/>
          <w:color w:val="auto"/>
          <w:szCs w:val="32"/>
        </w:rPr>
        <w:t>日至202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cs="Times New Roman"/>
          <w:color w:val="auto"/>
          <w:szCs w:val="32"/>
          <w:lang w:val="en-US" w:eastAsia="zh-CN"/>
        </w:rPr>
        <w:t>7</w:t>
      </w:r>
      <w:r>
        <w:rPr>
          <w:rFonts w:hint="default" w:ascii="Times New Roman" w:hAnsi="Times New Roman" w:eastAsia="仿宋_GB2312" w:cs="Times New Roman"/>
          <w:color w:val="auto"/>
          <w:szCs w:val="32"/>
        </w:rPr>
        <w:t>月</w:t>
      </w:r>
      <w:r>
        <w:rPr>
          <w:rFonts w:hint="default" w:ascii="Times New Roman" w:hAnsi="Times New Roman" w:cs="Times New Roman"/>
          <w:color w:val="auto"/>
          <w:szCs w:val="32"/>
          <w:lang w:val="en-US" w:eastAsia="zh-CN"/>
        </w:rPr>
        <w:t>4</w:t>
      </w:r>
      <w:r>
        <w:rPr>
          <w:rFonts w:hint="default" w:ascii="Times New Roman" w:hAnsi="Times New Roman" w:eastAsia="仿宋_GB2312" w:cs="Times New Roman"/>
          <w:color w:val="auto"/>
          <w:szCs w:val="32"/>
        </w:rPr>
        <w:t>日组织竞买人对拟出让地块进行现场踏勘。需由我局派员陪同实地踏勘的，请提前与我局联系（联系电话：0595－22769</w:t>
      </w:r>
      <w:r>
        <w:rPr>
          <w:rFonts w:hint="default" w:ascii="Times New Roman" w:hAnsi="Times New Roman" w:eastAsia="仿宋_GB2312" w:cs="Times New Roman"/>
          <w:color w:val="auto"/>
          <w:szCs w:val="32"/>
          <w:lang w:val="en-US" w:eastAsia="zh-CN"/>
        </w:rPr>
        <w:t>01</w:t>
      </w:r>
      <w:r>
        <w:rPr>
          <w:rFonts w:hint="default" w:ascii="Times New Roman" w:hAnsi="Times New Roman" w:eastAsia="仿宋_GB2312" w:cs="Times New Roman"/>
          <w:color w:val="auto"/>
          <w:szCs w:val="32"/>
        </w:rPr>
        <w:t>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七、宗地的拍卖起叫价和增价幅度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auto"/>
          <w:szCs w:val="32"/>
          <w:lang w:eastAsia="zh-CN"/>
        </w:rPr>
      </w:pPr>
      <w:r>
        <w:rPr>
          <w:rFonts w:hint="default" w:ascii="Times New Roman" w:hAnsi="Times New Roman" w:cs="Times New Roman"/>
          <w:color w:val="auto"/>
          <w:szCs w:val="32"/>
          <w:lang w:val="en-US" w:eastAsia="zh-CN"/>
        </w:rPr>
        <w:t>丰2025-6</w:t>
      </w:r>
      <w:r>
        <w:rPr>
          <w:rFonts w:hint="default" w:ascii="Times New Roman" w:hAnsi="Times New Roman" w:eastAsia="仿宋_GB2312" w:cs="Times New Roman"/>
          <w:color w:val="auto"/>
          <w:szCs w:val="32"/>
        </w:rPr>
        <w:t>号地块，起叫价为人民币（大写）</w:t>
      </w:r>
      <w:r>
        <w:rPr>
          <w:rFonts w:hint="default" w:ascii="Times New Roman" w:hAnsi="Times New Roman" w:cs="Times New Roman"/>
          <w:color w:val="auto"/>
          <w:szCs w:val="32"/>
          <w:lang w:eastAsia="zh-CN"/>
        </w:rPr>
        <w:t>贰亿玖仟玖佰万</w:t>
      </w:r>
      <w:r>
        <w:rPr>
          <w:rFonts w:hint="default" w:ascii="Times New Roman" w:hAnsi="Times New Roman" w:eastAsia="仿宋_GB2312" w:cs="Times New Roman"/>
          <w:color w:val="auto"/>
          <w:szCs w:val="32"/>
        </w:rPr>
        <w:t>元整（</w:t>
      </w:r>
      <w:r>
        <w:rPr>
          <w:rFonts w:hint="default" w:ascii="Times New Roman" w:hAnsi="Times New Roman" w:cs="Times New Roman"/>
          <w:color w:val="auto"/>
          <w:szCs w:val="32"/>
          <w:lang w:val="en-US" w:eastAsia="zh-CN"/>
        </w:rPr>
        <w:t>¥299</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00,000.00</w:t>
      </w:r>
      <w:r>
        <w:rPr>
          <w:rFonts w:hint="default" w:ascii="Times New Roman" w:hAnsi="Times New Roman" w:eastAsia="仿宋_GB2312" w:cs="Times New Roman"/>
          <w:color w:val="auto"/>
          <w:szCs w:val="32"/>
        </w:rPr>
        <w:t>），增价幅度为人民币（大写）</w:t>
      </w:r>
      <w:r>
        <w:rPr>
          <w:rFonts w:hint="default" w:ascii="Times New Roman" w:hAnsi="Times New Roman" w:cs="Times New Roman"/>
          <w:color w:val="auto"/>
          <w:szCs w:val="32"/>
          <w:lang w:eastAsia="zh-CN"/>
        </w:rPr>
        <w:t>壹</w:t>
      </w:r>
      <w:r>
        <w:rPr>
          <w:rFonts w:hint="default" w:ascii="Times New Roman" w:hAnsi="Times New Roman" w:eastAsia="仿宋_GB2312" w:cs="Times New Roman"/>
          <w:color w:val="auto"/>
          <w:szCs w:val="32"/>
        </w:rPr>
        <w:t>佰万元整（</w:t>
      </w:r>
      <w:r>
        <w:rPr>
          <w:rFonts w:hint="default" w:ascii="Times New Roman" w:hAnsi="Times New Roman" w:cs="Times New Roman"/>
          <w:color w:val="auto"/>
          <w:szCs w:val="32"/>
          <w:lang w:val="en-US" w:eastAsia="zh-CN"/>
        </w:rPr>
        <w:t>¥1</w:t>
      </w:r>
      <w:r>
        <w:rPr>
          <w:rFonts w:hint="default" w:ascii="Times New Roman" w:hAnsi="Times New Roman" w:eastAsia="仿宋_GB2312" w:cs="Times New Roman"/>
          <w:color w:val="auto"/>
          <w:szCs w:val="32"/>
        </w:rPr>
        <w:t>,000,000.00）或</w:t>
      </w:r>
      <w:r>
        <w:rPr>
          <w:rFonts w:hint="default" w:ascii="Times New Roman" w:hAnsi="Times New Roman" w:cs="Times New Roman"/>
          <w:color w:val="auto"/>
          <w:szCs w:val="32"/>
          <w:lang w:val="en-US" w:eastAsia="zh-CN"/>
        </w:rPr>
        <w:t>1</w:t>
      </w:r>
      <w:r>
        <w:rPr>
          <w:rFonts w:hint="default" w:ascii="Times New Roman" w:hAnsi="Times New Roman" w:eastAsia="仿宋_GB2312" w:cs="Times New Roman"/>
          <w:color w:val="auto"/>
          <w:szCs w:val="32"/>
        </w:rPr>
        <w:t>00万元整数倍金额</w:t>
      </w:r>
      <w:r>
        <w:rPr>
          <w:rFonts w:hint="default" w:ascii="Times New Roman" w:hAnsi="Times New Roman"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auto"/>
          <w:szCs w:val="32"/>
          <w:lang w:eastAsia="zh-CN"/>
        </w:rPr>
      </w:pPr>
      <w:r>
        <w:rPr>
          <w:rFonts w:hint="default" w:ascii="Times New Roman" w:hAnsi="Times New Roman" w:cs="Times New Roman"/>
          <w:color w:val="auto"/>
          <w:szCs w:val="32"/>
          <w:lang w:val="en-US" w:eastAsia="zh-CN"/>
        </w:rPr>
        <w:t>丰2024-13</w:t>
      </w:r>
      <w:r>
        <w:rPr>
          <w:rFonts w:hint="default" w:ascii="Times New Roman" w:hAnsi="Times New Roman" w:eastAsia="仿宋_GB2312" w:cs="Times New Roman"/>
          <w:color w:val="auto"/>
          <w:szCs w:val="32"/>
        </w:rPr>
        <w:t>号地块，起叫价为人民币（大写）</w:t>
      </w:r>
      <w:r>
        <w:rPr>
          <w:rFonts w:hint="default" w:ascii="Times New Roman" w:hAnsi="Times New Roman" w:cs="Times New Roman"/>
          <w:color w:val="auto"/>
          <w:szCs w:val="32"/>
          <w:lang w:eastAsia="zh-CN"/>
        </w:rPr>
        <w:t>肆亿壹仟壹佰万</w:t>
      </w:r>
      <w:r>
        <w:rPr>
          <w:rFonts w:hint="default" w:ascii="Times New Roman" w:hAnsi="Times New Roman" w:eastAsia="仿宋_GB2312" w:cs="Times New Roman"/>
          <w:color w:val="auto"/>
          <w:szCs w:val="32"/>
        </w:rPr>
        <w:t>元整（</w:t>
      </w:r>
      <w:r>
        <w:rPr>
          <w:rFonts w:hint="default" w:ascii="Times New Roman" w:hAnsi="Times New Roman" w:cs="Times New Roman"/>
          <w:color w:val="auto"/>
          <w:szCs w:val="32"/>
          <w:lang w:val="en-US" w:eastAsia="zh-CN"/>
        </w:rPr>
        <w:t>¥411</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00,000.00</w:t>
      </w:r>
      <w:r>
        <w:rPr>
          <w:rFonts w:hint="default" w:ascii="Times New Roman" w:hAnsi="Times New Roman" w:eastAsia="仿宋_GB2312" w:cs="Times New Roman"/>
          <w:color w:val="auto"/>
          <w:szCs w:val="32"/>
        </w:rPr>
        <w:t>），增价幅度为人民币（大写）</w:t>
      </w:r>
      <w:r>
        <w:rPr>
          <w:rFonts w:hint="default" w:ascii="Times New Roman" w:hAnsi="Times New Roman" w:cs="Times New Roman"/>
          <w:color w:val="auto"/>
          <w:szCs w:val="32"/>
          <w:lang w:eastAsia="zh-CN"/>
        </w:rPr>
        <w:t>贰</w:t>
      </w:r>
      <w:r>
        <w:rPr>
          <w:rFonts w:hint="default" w:ascii="Times New Roman" w:hAnsi="Times New Roman" w:eastAsia="仿宋_GB2312" w:cs="Times New Roman"/>
          <w:color w:val="auto"/>
          <w:szCs w:val="32"/>
        </w:rPr>
        <w:t>佰万元整（</w:t>
      </w:r>
      <w:r>
        <w:rPr>
          <w:rFonts w:hint="default" w:ascii="Times New Roman" w:hAnsi="Times New Roman" w:cs="Times New Roman"/>
          <w:color w:val="auto"/>
          <w:szCs w:val="32"/>
          <w:lang w:val="en-US" w:eastAsia="zh-CN"/>
        </w:rPr>
        <w:t>¥2</w:t>
      </w:r>
      <w:r>
        <w:rPr>
          <w:rFonts w:hint="default" w:ascii="Times New Roman" w:hAnsi="Times New Roman" w:eastAsia="仿宋_GB2312" w:cs="Times New Roman"/>
          <w:color w:val="auto"/>
          <w:szCs w:val="32"/>
        </w:rPr>
        <w:t>,000,000.00）或</w:t>
      </w:r>
      <w:r>
        <w:rPr>
          <w:rFonts w:hint="default" w:ascii="Times New Roman" w:hAnsi="Times New Roman" w:cs="Times New Roman"/>
          <w:color w:val="auto"/>
          <w:szCs w:val="32"/>
          <w:lang w:val="en-US" w:eastAsia="zh-CN"/>
        </w:rPr>
        <w:t>2</w:t>
      </w:r>
      <w:r>
        <w:rPr>
          <w:rFonts w:hint="default" w:ascii="Times New Roman" w:hAnsi="Times New Roman" w:eastAsia="仿宋_GB2312" w:cs="Times New Roman"/>
          <w:color w:val="auto"/>
          <w:szCs w:val="32"/>
        </w:rPr>
        <w:t>00万元整数倍金额</w:t>
      </w:r>
      <w:r>
        <w:rPr>
          <w:rFonts w:hint="default" w:ascii="Times New Roman" w:hAnsi="Times New Roman" w:cs="Times New Roman"/>
          <w:color w:val="auto"/>
          <w:szCs w:val="32"/>
          <w:lang w:eastAsia="zh-CN"/>
        </w:rPr>
        <w:t>；</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Cs w:val="32"/>
          <w:lang w:eastAsia="zh-CN"/>
        </w:rPr>
      </w:pPr>
      <w:r>
        <w:rPr>
          <w:rFonts w:hint="default" w:ascii="Times New Roman" w:hAnsi="Times New Roman" w:cs="Times New Roman"/>
          <w:color w:val="auto"/>
          <w:szCs w:val="32"/>
          <w:lang w:val="en-US" w:eastAsia="zh-CN"/>
        </w:rPr>
        <w:t>丰2022-16-1</w:t>
      </w:r>
      <w:r>
        <w:rPr>
          <w:rFonts w:hint="default" w:ascii="Times New Roman" w:hAnsi="Times New Roman" w:eastAsia="仿宋_GB2312" w:cs="Times New Roman"/>
          <w:color w:val="auto"/>
          <w:szCs w:val="32"/>
        </w:rPr>
        <w:t>号地块，起叫价为人民币（大写）</w:t>
      </w:r>
      <w:r>
        <w:rPr>
          <w:rFonts w:hint="default" w:ascii="Times New Roman" w:hAnsi="Times New Roman" w:cs="Times New Roman"/>
          <w:color w:val="auto"/>
          <w:szCs w:val="32"/>
          <w:lang w:eastAsia="zh-CN"/>
        </w:rPr>
        <w:t>陆佰万</w:t>
      </w:r>
      <w:r>
        <w:rPr>
          <w:rFonts w:hint="default" w:ascii="Times New Roman" w:hAnsi="Times New Roman" w:eastAsia="仿宋_GB2312" w:cs="Times New Roman"/>
          <w:color w:val="auto"/>
          <w:szCs w:val="32"/>
        </w:rPr>
        <w:t>元整（</w:t>
      </w:r>
      <w:r>
        <w:rPr>
          <w:rFonts w:hint="default" w:ascii="Times New Roman" w:hAnsi="Times New Roman" w:cs="Times New Roman"/>
          <w:color w:val="auto"/>
          <w:szCs w:val="32"/>
          <w:lang w:val="en-US"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00,000.00</w:t>
      </w:r>
      <w:r>
        <w:rPr>
          <w:rFonts w:hint="default" w:ascii="Times New Roman" w:hAnsi="Times New Roman" w:eastAsia="仿宋_GB2312" w:cs="Times New Roman"/>
          <w:color w:val="auto"/>
          <w:szCs w:val="32"/>
        </w:rPr>
        <w:t>），增价幅度为人民币（大写）</w:t>
      </w:r>
      <w:r>
        <w:rPr>
          <w:rFonts w:hint="default" w:ascii="Times New Roman" w:hAnsi="Times New Roman" w:cs="Times New Roman"/>
          <w:color w:val="auto"/>
          <w:szCs w:val="32"/>
          <w:lang w:eastAsia="zh-CN"/>
        </w:rPr>
        <w:t>壹拾</w:t>
      </w:r>
      <w:r>
        <w:rPr>
          <w:rFonts w:hint="default" w:ascii="Times New Roman" w:hAnsi="Times New Roman" w:eastAsia="仿宋_GB2312" w:cs="Times New Roman"/>
          <w:color w:val="auto"/>
          <w:szCs w:val="32"/>
        </w:rPr>
        <w:t>万元整（</w:t>
      </w:r>
      <w:r>
        <w:rPr>
          <w:rFonts w:hint="default" w:ascii="Times New Roman" w:hAnsi="Times New Roman" w:cs="Times New Roman"/>
          <w:color w:val="auto"/>
          <w:szCs w:val="32"/>
          <w:lang w:val="en-US" w:eastAsia="zh-CN"/>
        </w:rPr>
        <w:t>¥1</w:t>
      </w:r>
      <w:r>
        <w:rPr>
          <w:rFonts w:hint="default" w:ascii="Times New Roman" w:hAnsi="Times New Roman" w:eastAsia="仿宋_GB2312" w:cs="Times New Roman"/>
          <w:color w:val="auto"/>
          <w:szCs w:val="32"/>
        </w:rPr>
        <w:t>00,000.00）或</w:t>
      </w:r>
      <w:r>
        <w:rPr>
          <w:rFonts w:hint="default" w:ascii="Times New Roman" w:hAnsi="Times New Roman" w:cs="Times New Roman"/>
          <w:color w:val="auto"/>
          <w:szCs w:val="32"/>
          <w:lang w:val="en-US" w:eastAsia="zh-CN"/>
        </w:rPr>
        <w:t>1</w:t>
      </w:r>
      <w:r>
        <w:rPr>
          <w:rFonts w:hint="default" w:ascii="Times New Roman" w:hAnsi="Times New Roman" w:eastAsia="仿宋_GB2312" w:cs="Times New Roman"/>
          <w:color w:val="auto"/>
          <w:szCs w:val="32"/>
        </w:rPr>
        <w:t>0万元整数倍金额</w:t>
      </w:r>
      <w:r>
        <w:rPr>
          <w:rFonts w:hint="default" w:ascii="Times New Roman" w:hAnsi="Times New Roman" w:cs="Times New Roman"/>
          <w:color w:val="auto"/>
          <w:szCs w:val="32"/>
          <w:lang w:eastAsia="zh-CN"/>
        </w:rPr>
        <w:t>；</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Cs w:val="32"/>
          <w:lang w:eastAsia="zh-CN"/>
        </w:rPr>
      </w:pPr>
      <w:r>
        <w:rPr>
          <w:rFonts w:hint="default" w:ascii="Times New Roman" w:hAnsi="Times New Roman" w:cs="Times New Roman"/>
          <w:color w:val="auto"/>
          <w:szCs w:val="32"/>
          <w:lang w:val="en-US" w:eastAsia="zh-CN"/>
        </w:rPr>
        <w:t>丰2022-17-1</w:t>
      </w:r>
      <w:r>
        <w:rPr>
          <w:rFonts w:hint="default" w:ascii="Times New Roman" w:hAnsi="Times New Roman" w:eastAsia="仿宋_GB2312" w:cs="Times New Roman"/>
          <w:color w:val="auto"/>
          <w:szCs w:val="32"/>
        </w:rPr>
        <w:t>号地块，起叫价为人民币（大写）</w:t>
      </w:r>
      <w:r>
        <w:rPr>
          <w:rFonts w:hint="default" w:ascii="Times New Roman" w:hAnsi="Times New Roman" w:cs="Times New Roman"/>
          <w:color w:val="auto"/>
          <w:szCs w:val="32"/>
          <w:lang w:eastAsia="zh-CN"/>
        </w:rPr>
        <w:t>陆佰万</w:t>
      </w:r>
      <w:r>
        <w:rPr>
          <w:rFonts w:hint="default" w:ascii="Times New Roman" w:hAnsi="Times New Roman" w:eastAsia="仿宋_GB2312" w:cs="Times New Roman"/>
          <w:color w:val="auto"/>
          <w:szCs w:val="32"/>
        </w:rPr>
        <w:t>元整（</w:t>
      </w:r>
      <w:r>
        <w:rPr>
          <w:rFonts w:hint="default" w:ascii="Times New Roman" w:hAnsi="Times New Roman" w:cs="Times New Roman"/>
          <w:color w:val="auto"/>
          <w:szCs w:val="32"/>
          <w:lang w:val="en-US"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00,000.00</w:t>
      </w:r>
      <w:r>
        <w:rPr>
          <w:rFonts w:hint="default" w:ascii="Times New Roman" w:hAnsi="Times New Roman" w:eastAsia="仿宋_GB2312" w:cs="Times New Roman"/>
          <w:color w:val="auto"/>
          <w:szCs w:val="32"/>
        </w:rPr>
        <w:t>），增价幅度为人民币（大写）</w:t>
      </w:r>
      <w:r>
        <w:rPr>
          <w:rFonts w:hint="default" w:ascii="Times New Roman" w:hAnsi="Times New Roman" w:cs="Times New Roman"/>
          <w:color w:val="auto"/>
          <w:szCs w:val="32"/>
          <w:lang w:eastAsia="zh-CN"/>
        </w:rPr>
        <w:t>壹拾</w:t>
      </w:r>
      <w:r>
        <w:rPr>
          <w:rFonts w:hint="default" w:ascii="Times New Roman" w:hAnsi="Times New Roman" w:eastAsia="仿宋_GB2312" w:cs="Times New Roman"/>
          <w:color w:val="auto"/>
          <w:szCs w:val="32"/>
        </w:rPr>
        <w:t>万元整（</w:t>
      </w:r>
      <w:r>
        <w:rPr>
          <w:rFonts w:hint="default" w:ascii="Times New Roman" w:hAnsi="Times New Roman" w:cs="Times New Roman"/>
          <w:color w:val="auto"/>
          <w:szCs w:val="32"/>
          <w:lang w:val="en-US" w:eastAsia="zh-CN"/>
        </w:rPr>
        <w:t>¥1</w:t>
      </w:r>
      <w:r>
        <w:rPr>
          <w:rFonts w:hint="default" w:ascii="Times New Roman" w:hAnsi="Times New Roman" w:eastAsia="仿宋_GB2312" w:cs="Times New Roman"/>
          <w:color w:val="auto"/>
          <w:szCs w:val="32"/>
        </w:rPr>
        <w:t>00,000.00）或</w:t>
      </w:r>
      <w:r>
        <w:rPr>
          <w:rFonts w:hint="default" w:ascii="Times New Roman" w:hAnsi="Times New Roman" w:cs="Times New Roman"/>
          <w:color w:val="auto"/>
          <w:szCs w:val="32"/>
          <w:lang w:val="en-US" w:eastAsia="zh-CN"/>
        </w:rPr>
        <w:t>1</w:t>
      </w:r>
      <w:r>
        <w:rPr>
          <w:rFonts w:hint="default" w:ascii="Times New Roman" w:hAnsi="Times New Roman" w:eastAsia="仿宋_GB2312" w:cs="Times New Roman"/>
          <w:color w:val="auto"/>
          <w:szCs w:val="32"/>
        </w:rPr>
        <w:t>0万元整数倍金额</w:t>
      </w:r>
      <w:r>
        <w:rPr>
          <w:rFonts w:hint="default" w:ascii="Times New Roman" w:hAnsi="Times New Roman" w:cs="Times New Roman"/>
          <w:color w:val="auto"/>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八、拍卖程序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（一）拍卖会程序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1．拍卖主持人宣布拍卖会开始。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2．拍卖主持人、记录员、公证员就位。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3．拍卖主持人点算竞买人。点到竞买号牌号码时，竞买人须举牌示意。拍卖主持人宣布竞买人到场情况。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4．拍卖主持人介绍拍卖地块的位置、面积、用途、使用年限、规划指标要求、建设时间等。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5．拍卖主持人宣布拍卖宗地的起叫价、增价规则和增价幅度，并明确提示不设保留价。在拍卖过程中，拍卖主持人可根据现场情况调整增价幅度。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6．拍卖主持人报出起叫价，宣布竞价开始。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8．拍卖主持人确认该竞买人应价或者报价后继续竞价。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9．拍卖主持人连续三次宣布同一应价或报价而没有人再应价或出价的，拍卖主持人落槌表示拍卖成交，并宣布最高应价者为竞得人。成交结果对竞得人和出让人均具有法律效力。</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（三）出让人与竞得人依据《成交确认书》约定签订《国有建设用地使用权出让合同》。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（四）出让结果公布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我局将在此次国有建设用地使用权拍卖会结束后10个工作日内，在中国土地市场网（www.landchina.com）、泉州自然资源和规划</w:t>
      </w:r>
      <w:r>
        <w:rPr>
          <w:rFonts w:hint="default" w:ascii="Times New Roman" w:hAnsi="Times New Roman" w:eastAsia="仿宋_GB2312" w:cs="Times New Roman"/>
          <w:color w:val="auto"/>
          <w:kern w:val="10"/>
          <w:szCs w:val="32"/>
        </w:rPr>
        <w:t>信息网（</w:t>
      </w:r>
      <w:r>
        <w:rPr>
          <w:rFonts w:hint="default" w:ascii="Times New Roman" w:hAnsi="Times New Roman" w:eastAsia="仿宋_GB2312" w:cs="Times New Roman"/>
          <w:color w:val="auto"/>
          <w:szCs w:val="32"/>
        </w:rPr>
        <w:t>zyghj.quanzhou.gov.cn</w:t>
      </w:r>
      <w:r>
        <w:rPr>
          <w:rFonts w:hint="default" w:ascii="Times New Roman" w:hAnsi="Times New Roman" w:eastAsia="仿宋_GB2312" w:cs="Times New Roman"/>
          <w:color w:val="auto"/>
          <w:kern w:val="10"/>
          <w:szCs w:val="32"/>
        </w:rPr>
        <w:t>）</w:t>
      </w:r>
      <w:r>
        <w:rPr>
          <w:rFonts w:hint="default" w:ascii="Times New Roman" w:hAnsi="Times New Roman" w:eastAsia="仿宋_GB2312" w:cs="Times New Roman"/>
          <w:color w:val="auto"/>
          <w:szCs w:val="32"/>
        </w:rPr>
        <w:t>公布本次国有建设用地使用权拍卖出让结果。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九、竞价规则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（一）不设保留价，按照价高者得的原则确定竞得人。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（二）竞买人以举牌方式应价，也可以报价，报价的加价幅度不得小于拍卖主持人宣布或调整的增价幅度。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kern w:val="10"/>
          <w:szCs w:val="32"/>
        </w:rPr>
        <w:t>（三）竞买人凭《竞买资格确认书》和法定代表人（自然人、受委托代理人）身份证件领取竞买号牌。</w:t>
      </w:r>
      <w:r>
        <w:rPr>
          <w:rFonts w:hint="default" w:ascii="Times New Roman" w:hAnsi="Times New Roman" w:eastAsia="仿宋_GB2312" w:cs="Times New Roman"/>
          <w:color w:val="auto"/>
          <w:szCs w:val="32"/>
        </w:rPr>
        <w:t>竞买号牌代表竞买人的资格。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10"/>
          <w:szCs w:val="32"/>
        </w:rPr>
      </w:pPr>
      <w:r>
        <w:rPr>
          <w:rFonts w:hint="default" w:ascii="Times New Roman" w:hAnsi="Times New Roman" w:eastAsia="仿宋_GB2312" w:cs="Times New Roman"/>
          <w:color w:val="auto"/>
          <w:kern w:val="10"/>
          <w:szCs w:val="32"/>
        </w:rPr>
        <w:t>（四）</w:t>
      </w:r>
      <w:r>
        <w:rPr>
          <w:rFonts w:hint="default" w:ascii="Times New Roman" w:hAnsi="Times New Roman" w:eastAsia="仿宋_GB2312" w:cs="Times New Roman"/>
          <w:color w:val="auto"/>
          <w:szCs w:val="32"/>
        </w:rPr>
        <w:t>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cs="Times New Roman"/>
          <w:color w:val="auto"/>
          <w:szCs w:val="32"/>
          <w:lang w:val="en-US" w:eastAsia="zh-CN"/>
        </w:rPr>
        <w:t>7</w:t>
      </w:r>
      <w:r>
        <w:rPr>
          <w:rFonts w:hint="default" w:ascii="Times New Roman" w:hAnsi="Times New Roman" w:eastAsia="仿宋_GB2312" w:cs="Times New Roman"/>
          <w:color w:val="auto"/>
          <w:szCs w:val="32"/>
        </w:rPr>
        <w:t>月</w:t>
      </w:r>
      <w:r>
        <w:rPr>
          <w:rFonts w:hint="default" w:ascii="Times New Roman" w:hAnsi="Times New Roman" w:cs="Times New Roman"/>
          <w:color w:val="auto"/>
          <w:szCs w:val="32"/>
          <w:lang w:val="en-US" w:eastAsia="zh-CN"/>
        </w:rPr>
        <w:t>18</w:t>
      </w:r>
      <w:r>
        <w:rPr>
          <w:rFonts w:hint="default" w:ascii="Times New Roman" w:hAnsi="Times New Roman" w:eastAsia="仿宋_GB2312" w:cs="Times New Roman"/>
          <w:color w:val="auto"/>
          <w:szCs w:val="32"/>
        </w:rPr>
        <w:t>日9</w:t>
      </w:r>
      <w:r>
        <w:rPr>
          <w:rFonts w:hint="default" w:ascii="Times New Roman" w:hAnsi="Times New Roman" w:eastAsia="仿宋_GB2312" w:cs="Times New Roman"/>
          <w:color w:val="auto"/>
          <w:kern w:val="10"/>
          <w:szCs w:val="32"/>
        </w:rPr>
        <w:t>:00前，竞买人须领取竞买号牌并进入竞买现场，否则视为放弃竞买资格。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10"/>
          <w:szCs w:val="32"/>
        </w:rPr>
      </w:pPr>
      <w:r>
        <w:rPr>
          <w:rFonts w:hint="default" w:ascii="Times New Roman" w:hAnsi="Times New Roman" w:eastAsia="仿宋_GB2312" w:cs="Times New Roman"/>
          <w:color w:val="auto"/>
          <w:kern w:val="10"/>
          <w:szCs w:val="32"/>
        </w:rPr>
        <w:t>十、缴款时间、交地时间和交地条件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10"/>
          <w:szCs w:val="32"/>
        </w:rPr>
      </w:pPr>
      <w:r>
        <w:rPr>
          <w:rFonts w:hint="default" w:ascii="Times New Roman" w:hAnsi="Times New Roman" w:eastAsia="仿宋_GB2312" w:cs="Times New Roman"/>
          <w:color w:val="auto"/>
          <w:kern w:val="10"/>
          <w:szCs w:val="32"/>
        </w:rPr>
        <w:t>（一）缴款时间</w:t>
      </w:r>
    </w:p>
    <w:p>
      <w:pPr>
        <w:keepNext w:val="0"/>
        <w:keepLines w:val="0"/>
        <w:pageBreakBefore w:val="0"/>
        <w:kinsoku/>
        <w:wordWrap/>
        <w:overflowPunct/>
        <w:topLinePunct w:val="0"/>
        <w:autoSpaceDE/>
        <w:autoSpaceDN/>
        <w:bidi w:val="0"/>
        <w:adjustRightInd/>
        <w:snapToGrid/>
        <w:spacing w:line="540" w:lineRule="exact"/>
        <w:ind w:firstLine="636" w:firstLineChars="199"/>
        <w:textAlignment w:val="auto"/>
        <w:rPr>
          <w:rFonts w:hint="default" w:ascii="Times New Roman" w:hAnsi="Times New Roman" w:eastAsia="仿宋" w:cs="Times New Roman"/>
          <w:color w:val="auto"/>
          <w:szCs w:val="32"/>
          <w:lang w:val="en-US" w:eastAsia="zh-CN"/>
        </w:rPr>
      </w:pPr>
      <w:r>
        <w:rPr>
          <w:rFonts w:hint="default" w:ascii="Times New Roman" w:hAnsi="Times New Roman" w:eastAsia="仿宋" w:cs="Times New Roman"/>
          <w:color w:val="auto"/>
          <w:szCs w:val="32"/>
          <w:lang w:val="en-US" w:eastAsia="zh-CN"/>
        </w:rPr>
        <w:t>丰2025-6号、丰2024-13号</w:t>
      </w:r>
      <w:r>
        <w:rPr>
          <w:rFonts w:hint="default" w:ascii="Times New Roman" w:hAnsi="Times New Roman" w:eastAsia="仿宋" w:cs="Times New Roman"/>
          <w:color w:val="auto"/>
          <w:szCs w:val="32"/>
          <w:lang w:eastAsia="zh-CN"/>
        </w:rPr>
        <w:t>地块竞得人自竞得之日起30日内应缴交成交价总额50%的成交价款（竞买保证金转作受让地块的定金，抵作土地出让价款），其中丰</w:t>
      </w:r>
      <w:r>
        <w:rPr>
          <w:rFonts w:hint="default" w:ascii="Times New Roman" w:hAnsi="Times New Roman" w:eastAsia="仿宋" w:cs="Times New Roman"/>
          <w:color w:val="auto"/>
          <w:szCs w:val="32"/>
          <w:lang w:val="en-US" w:eastAsia="zh-CN"/>
        </w:rPr>
        <w:t>202</w:t>
      </w:r>
      <w:r>
        <w:rPr>
          <w:rFonts w:hint="eastAsia" w:ascii="Times New Roman" w:eastAsia="仿宋" w:cs="Times New Roman"/>
          <w:color w:val="auto"/>
          <w:szCs w:val="32"/>
          <w:lang w:val="en-US" w:eastAsia="zh-CN"/>
        </w:rPr>
        <w:t>5</w:t>
      </w:r>
      <w:r>
        <w:rPr>
          <w:rFonts w:hint="default" w:ascii="Times New Roman" w:hAnsi="Times New Roman" w:eastAsia="仿宋" w:cs="Times New Roman"/>
          <w:color w:val="auto"/>
          <w:szCs w:val="32"/>
          <w:lang w:val="en-US" w:eastAsia="zh-CN"/>
        </w:rPr>
        <w:t>-6号地块</w:t>
      </w:r>
      <w:r>
        <w:rPr>
          <w:rFonts w:hint="default" w:ascii="Times New Roman" w:hAnsi="Times New Roman" w:eastAsia="仿宋" w:cs="Times New Roman"/>
          <w:color w:val="auto"/>
          <w:szCs w:val="32"/>
          <w:lang w:eastAsia="zh-CN"/>
        </w:rPr>
        <w:t>余款自竞得之日起</w:t>
      </w:r>
      <w:r>
        <w:rPr>
          <w:rFonts w:hint="default" w:ascii="Times New Roman" w:hAnsi="Times New Roman" w:eastAsia="仿宋" w:cs="Times New Roman"/>
          <w:color w:val="auto"/>
          <w:szCs w:val="32"/>
          <w:lang w:val="en-US" w:eastAsia="zh-CN"/>
        </w:rPr>
        <w:t>3</w:t>
      </w:r>
      <w:r>
        <w:rPr>
          <w:rFonts w:hint="default" w:ascii="Times New Roman" w:hAnsi="Times New Roman" w:eastAsia="仿宋" w:cs="Times New Roman"/>
          <w:color w:val="auto"/>
          <w:szCs w:val="32"/>
          <w:lang w:eastAsia="zh-CN"/>
        </w:rPr>
        <w:t>个月内交清，丰</w:t>
      </w:r>
      <w:r>
        <w:rPr>
          <w:rFonts w:hint="default" w:ascii="Times New Roman" w:hAnsi="Times New Roman" w:eastAsia="仿宋" w:cs="Times New Roman"/>
          <w:color w:val="auto"/>
          <w:szCs w:val="32"/>
          <w:lang w:val="en-US" w:eastAsia="zh-CN"/>
        </w:rPr>
        <w:t>2024-13号地块</w:t>
      </w:r>
      <w:r>
        <w:rPr>
          <w:rFonts w:hint="default" w:ascii="Times New Roman" w:hAnsi="Times New Roman" w:eastAsia="仿宋" w:cs="Times New Roman"/>
          <w:color w:val="auto"/>
          <w:szCs w:val="32"/>
          <w:lang w:eastAsia="zh-CN"/>
        </w:rPr>
        <w:t>余款自竞得之日起</w:t>
      </w:r>
      <w:r>
        <w:rPr>
          <w:rFonts w:hint="default" w:ascii="Times New Roman" w:hAnsi="Times New Roman" w:eastAsia="仿宋" w:cs="Times New Roman"/>
          <w:color w:val="auto"/>
          <w:szCs w:val="32"/>
          <w:lang w:val="en-US" w:eastAsia="zh-CN"/>
        </w:rPr>
        <w:t>12</w:t>
      </w:r>
      <w:r>
        <w:rPr>
          <w:rFonts w:hint="default" w:ascii="Times New Roman" w:hAnsi="Times New Roman" w:eastAsia="仿宋" w:cs="Times New Roman"/>
          <w:color w:val="auto"/>
          <w:szCs w:val="32"/>
          <w:lang w:eastAsia="zh-CN"/>
        </w:rPr>
        <w:t>个月内交清</w:t>
      </w:r>
      <w:r>
        <w:rPr>
          <w:rFonts w:hint="default" w:ascii="Times New Roman" w:hAnsi="Times New Roman" w:eastAsia="仿宋" w:cs="Times New Roman"/>
          <w:color w:val="auto"/>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36" w:firstLineChars="199"/>
        <w:textAlignment w:val="auto"/>
        <w:rPr>
          <w:rFonts w:hint="default" w:ascii="Times New Roman" w:hAnsi="Times New Roman" w:eastAsia="仿宋" w:cs="Times New Roman"/>
          <w:color w:val="auto"/>
          <w:szCs w:val="32"/>
          <w:lang w:val="en-US" w:eastAsia="zh-CN"/>
        </w:rPr>
      </w:pPr>
      <w:r>
        <w:rPr>
          <w:rFonts w:hint="default" w:ascii="Times New Roman" w:hAnsi="Times New Roman" w:eastAsia="仿宋" w:cs="Times New Roman"/>
          <w:color w:val="auto"/>
          <w:szCs w:val="32"/>
          <w:lang w:val="en-US" w:eastAsia="zh-CN"/>
        </w:rPr>
        <w:t>丰2022-1</w:t>
      </w:r>
      <w:r>
        <w:rPr>
          <w:rFonts w:hint="eastAsia" w:ascii="Times New Roman" w:eastAsia="仿宋" w:cs="Times New Roman"/>
          <w:color w:val="auto"/>
          <w:szCs w:val="32"/>
          <w:lang w:val="en-US" w:eastAsia="zh-CN"/>
        </w:rPr>
        <w:t>6</w:t>
      </w:r>
      <w:r>
        <w:rPr>
          <w:rFonts w:hint="default" w:ascii="Times New Roman" w:hAnsi="Times New Roman" w:eastAsia="仿宋" w:cs="Times New Roman"/>
          <w:color w:val="auto"/>
          <w:szCs w:val="32"/>
          <w:lang w:val="en-US" w:eastAsia="zh-CN"/>
        </w:rPr>
        <w:t>-1号、丰2022-1</w:t>
      </w:r>
      <w:r>
        <w:rPr>
          <w:rFonts w:hint="eastAsia" w:ascii="Times New Roman" w:eastAsia="仿宋" w:cs="Times New Roman"/>
          <w:color w:val="auto"/>
          <w:szCs w:val="32"/>
          <w:lang w:val="en-US" w:eastAsia="zh-CN"/>
        </w:rPr>
        <w:t>7</w:t>
      </w:r>
      <w:r>
        <w:rPr>
          <w:rFonts w:hint="default" w:ascii="Times New Roman" w:hAnsi="Times New Roman" w:eastAsia="仿宋" w:cs="Times New Roman"/>
          <w:color w:val="auto"/>
          <w:szCs w:val="32"/>
          <w:lang w:val="en-US" w:eastAsia="zh-CN"/>
        </w:rPr>
        <w:t>-1号地块</w:t>
      </w:r>
      <w:r>
        <w:rPr>
          <w:rFonts w:hint="default" w:ascii="Times New Roman" w:hAnsi="Times New Roman" w:eastAsia="仿宋" w:cs="Times New Roman"/>
          <w:color w:val="auto"/>
          <w:szCs w:val="32"/>
          <w:lang w:eastAsia="zh-CN"/>
        </w:rPr>
        <w:t>竞买保证金转作受让地块的定金，抵作土地出让价款，余款自竞得之日起</w:t>
      </w:r>
      <w:r>
        <w:rPr>
          <w:rFonts w:hint="default" w:ascii="Times New Roman" w:hAnsi="Times New Roman" w:eastAsia="仿宋" w:cs="Times New Roman"/>
          <w:color w:val="auto"/>
          <w:szCs w:val="32"/>
          <w:lang w:val="en-US" w:eastAsia="zh-CN"/>
        </w:rPr>
        <w:t>1个月内交清。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10"/>
          <w:szCs w:val="32"/>
        </w:rPr>
      </w:pPr>
      <w:r>
        <w:rPr>
          <w:rFonts w:hint="default" w:ascii="Times New Roman" w:hAnsi="Times New Roman" w:eastAsia="仿宋_GB2312" w:cs="Times New Roman"/>
          <w:color w:val="auto"/>
          <w:kern w:val="10"/>
          <w:szCs w:val="32"/>
        </w:rPr>
        <w:t>竞得人应当按时支付成交价款，不能按时支付成交价款的，自违约之日起，每日按迟延支付款项的1‰向出让人缴纳违约金。延期付款超过60日，经出让人催缴后仍未支付成交价款的，出让人有权解除合同并可请求违约赔偿，竞得人无权要求退还定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10"/>
          <w:szCs w:val="32"/>
        </w:rPr>
      </w:pPr>
      <w:r>
        <w:rPr>
          <w:rFonts w:hint="default" w:ascii="Times New Roman" w:hAnsi="Times New Roman" w:eastAsia="仿宋_GB2312" w:cs="Times New Roman"/>
          <w:color w:val="auto"/>
          <w:kern w:val="10"/>
          <w:szCs w:val="32"/>
        </w:rPr>
        <w:t>（二）交地时间和交地条件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10"/>
          <w:szCs w:val="32"/>
        </w:rPr>
      </w:pPr>
      <w:r>
        <w:rPr>
          <w:rFonts w:hint="default" w:ascii="Times New Roman" w:hAnsi="Times New Roman" w:eastAsia="仿宋_GB2312" w:cs="Times New Roman"/>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十一、开工、竣工时间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上述地块竞得人应在签订《国有建设用地使用权出让合同》之日起1年内开工，并在开工后</w:t>
      </w:r>
      <w:r>
        <w:rPr>
          <w:rFonts w:hint="default"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年内竣工。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竞得人未能按照合同约定日期或同意延建所另行约定日期开工建设或竣工的，每延期</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日，应向出让人支付相当于成交价款总额1‰的违约金。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rPr>
        <w:t>竞得人应</w:t>
      </w:r>
      <w:r>
        <w:rPr>
          <w:rFonts w:hint="default" w:ascii="Times New Roman" w:hAnsi="Times New Roman" w:cs="Times New Roman"/>
          <w:color w:val="auto"/>
          <w:szCs w:val="32"/>
          <w:lang w:eastAsia="zh-CN"/>
        </w:rPr>
        <w:t>在开工建设、竣工验收后及时向我局进行开工、竣工申报。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竞得人造成土地闲置，按《闲置土地处置办法》有关规定执行。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十二、注意事项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（一）竞买人须全面阅读有关拍卖文件，如有疑问可以在拍卖会开始日以前用书面或口头方式向我局咨询。竞买人可到现场踏勘拍卖出让地块。申请一经受理确认后，即视为</w:t>
      </w:r>
      <w:bookmarkStart w:id="0" w:name="_Hlk85133807"/>
      <w:r>
        <w:rPr>
          <w:rFonts w:hint="default" w:ascii="Times New Roman" w:hAnsi="Times New Roman" w:eastAsia="仿宋_GB2312" w:cs="Times New Roman"/>
          <w:color w:val="auto"/>
          <w:szCs w:val="32"/>
        </w:rPr>
        <w:t>竞买人</w:t>
      </w:r>
      <w:bookmarkEnd w:id="0"/>
      <w:r>
        <w:rPr>
          <w:rFonts w:hint="default" w:ascii="Times New Roman" w:hAnsi="Times New Roman" w:eastAsia="仿宋_GB2312" w:cs="Times New Roman"/>
          <w:color w:val="auto"/>
          <w:szCs w:val="32"/>
        </w:rPr>
        <w:t>对拍卖文件及地块现状无异议并全部接受，并对有关承诺承担法律责任。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（三）竞买人一经应价或报价，不可撤回。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（六）有下列情形之一的，出让人或组织方应当在拍卖会前终止拍卖活动，并通知竞买人：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1．竞买人串通损害国家利益、社会利益或他人合法权益的；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2．拍卖工作人员私下接触竞买人，足以影响拍卖公正性的；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3．应当依法终止拍卖活动的其他情形。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（七）竞得人有下列行为之一的，视为违约，出让人或组织方可取消其竞得人资格，竞买保证金不予退还：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1．竞得人逾期或拒绝签订《成交确认书》的；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w:t>
      </w:r>
      <w:bookmarkStart w:id="1" w:name="OLE_LINK2"/>
      <w:r>
        <w:rPr>
          <w:rFonts w:hint="default" w:ascii="Times New Roman" w:hAnsi="Times New Roman" w:eastAsia="仿宋_GB2312" w:cs="Times New Roman"/>
          <w:color w:val="auto"/>
          <w:szCs w:val="32"/>
        </w:rPr>
        <w:t>．</w:t>
      </w:r>
      <w:bookmarkEnd w:id="1"/>
      <w:r>
        <w:rPr>
          <w:rFonts w:hint="default" w:ascii="Times New Roman" w:hAnsi="Times New Roman" w:eastAsia="仿宋_GB2312" w:cs="Times New Roman"/>
          <w:color w:val="auto"/>
          <w:szCs w:val="32"/>
        </w:rPr>
        <w:t>竞得人逾期或拒绝签订《国有建设用地使用权出让合同》的。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3．竞得人开出的银行支票或汇票在有效期内不能兑现或不能全部兑现。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成交金额</w:t>
            </w:r>
          </w:p>
        </w:tc>
        <w:tc>
          <w:tcPr>
            <w:tcW w:w="2761"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100万元以下（含100万元）</w:t>
            </w:r>
          </w:p>
        </w:tc>
        <w:tc>
          <w:tcPr>
            <w:tcW w:w="2761"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100-500万元部分（含500万元）</w:t>
            </w:r>
          </w:p>
        </w:tc>
        <w:tc>
          <w:tcPr>
            <w:tcW w:w="2761"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500-1000万元部分（含1000万元）</w:t>
            </w:r>
          </w:p>
        </w:tc>
        <w:tc>
          <w:tcPr>
            <w:tcW w:w="2761"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1000-3000万元部分（含3000万元）</w:t>
            </w:r>
          </w:p>
        </w:tc>
        <w:tc>
          <w:tcPr>
            <w:tcW w:w="2761"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3000-5000万元部分（含5000万元）</w:t>
            </w:r>
          </w:p>
        </w:tc>
        <w:tc>
          <w:tcPr>
            <w:tcW w:w="2761"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5000-10000万元部分（含10000万元）</w:t>
            </w:r>
          </w:p>
        </w:tc>
        <w:tc>
          <w:tcPr>
            <w:tcW w:w="2761"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10000万元以上</w:t>
            </w:r>
          </w:p>
        </w:tc>
        <w:tc>
          <w:tcPr>
            <w:tcW w:w="2761" w:type="dxa"/>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color w:val="auto"/>
                <w:szCs w:val="32"/>
              </w:rPr>
            </w:pPr>
            <w:r>
              <w:rPr>
                <w:rFonts w:hint="default" w:ascii="Times New Roman" w:hAnsi="Times New Roman" w:eastAsia="仿宋" w:cs="Times New Roman"/>
                <w:color w:val="auto"/>
                <w:szCs w:val="32"/>
              </w:rPr>
              <w:t>0</w:t>
            </w:r>
          </w:p>
        </w:tc>
      </w:tr>
    </w:tbl>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注：按上述费率分级累进计收，每宗收费金额不足100元的按100元收取。</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    竞得人须在成交之日起3个工作日内将交易服务费汇到泉州市产权交易中心有限公司指定账号内。</w:t>
      </w:r>
      <w:r>
        <w:rPr>
          <w:rFonts w:hint="default" w:ascii="Times New Roman" w:hAnsi="Times New Roman" w:eastAsia="仿宋_GB2312" w:cs="Times New Roman"/>
          <w:bCs/>
          <w:color w:val="auto"/>
          <w:szCs w:val="32"/>
        </w:rPr>
        <w:t>交易服务费账户户名</w:t>
      </w:r>
      <w:r>
        <w:rPr>
          <w:rFonts w:hint="default" w:ascii="Times New Roman" w:hAnsi="Times New Roman" w:eastAsia="仿宋_GB2312" w:cs="Times New Roman"/>
          <w:color w:val="auto"/>
          <w:szCs w:val="32"/>
        </w:rPr>
        <w:t>：泉州市产权交易中心有限公司，兴业银行泉州丰泽支行152690100100090830。</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（十）竞得人付清全部拍卖成交价款后，依法申请办理土地登记，领取《不动产权证》，取得土地使用权。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（十二）拍卖不成交的，按规定由我局重新组织出让。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（十三）参加拍卖活动的人员，应遵守现场的纪律，服从管理人员的管理。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（十四）</w:t>
      </w:r>
      <w:r>
        <w:rPr>
          <w:rFonts w:hint="default" w:ascii="Times New Roman" w:hAnsi="Times New Roman" w:eastAsia="仿宋_GB2312" w:cs="Times New Roman"/>
          <w:color w:val="auto"/>
          <w:kern w:val="10"/>
          <w:szCs w:val="32"/>
        </w:rPr>
        <w:t>拍卖工作人员对拍卖出让标的，无论采取任何方式所作的介绍及评论，均作为参考性意见，不构成对拍卖标的任何担保。</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（十五）我局对本《须知》有解释权。未尽事宜依照原国土资源部《招标拍卖挂牌出让国有土地使用权规范（试行）》、《福建省国有土地使用权出让工作规范（试行）》办理。</w:t>
      </w:r>
    </w:p>
    <w:p>
      <w:pPr>
        <w:keepNext w:val="0"/>
        <w:keepLines w:val="0"/>
        <w:pageBreakBefore w:val="0"/>
        <w:kinsoku/>
        <w:wordWrap/>
        <w:overflowPunct/>
        <w:topLinePunct w:val="0"/>
        <w:autoSpaceDE/>
        <w:autoSpaceDN/>
        <w:bidi w:val="0"/>
        <w:adjustRightInd/>
        <w:snapToGrid/>
        <w:spacing w:line="540" w:lineRule="exact"/>
        <w:ind w:right="1440" w:rightChars="450"/>
        <w:textAlignment w:val="auto"/>
        <w:rPr>
          <w:rFonts w:hint="default" w:ascii="Times New Roman" w:hAnsi="Times New Roman" w:eastAsia="仿宋_GB2312" w:cs="Times New Roman"/>
          <w:color w:val="auto"/>
          <w:szCs w:val="32"/>
        </w:rPr>
      </w:pP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adjustRightInd/>
        <w:snapToGrid/>
        <w:spacing w:line="540" w:lineRule="exact"/>
        <w:ind w:right="1440" w:rightChars="450"/>
        <w:jc w:val="righ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泉州市自然资源和规划局</w:t>
      </w:r>
    </w:p>
    <w:p>
      <w:pPr>
        <w:keepNext w:val="0"/>
        <w:keepLines w:val="0"/>
        <w:pageBreakBefore w:val="0"/>
        <w:kinsoku/>
        <w:wordWrap/>
        <w:overflowPunct/>
        <w:topLinePunct w:val="0"/>
        <w:autoSpaceDE/>
        <w:autoSpaceDN/>
        <w:bidi w:val="0"/>
        <w:adjustRightInd/>
        <w:snapToGrid/>
        <w:spacing w:line="540" w:lineRule="exact"/>
        <w:ind w:right="1920" w:rightChars="600"/>
        <w:jc w:val="right"/>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cs="Times New Roman"/>
          <w:color w:val="auto"/>
          <w:szCs w:val="32"/>
          <w:lang w:val="en-US" w:eastAsia="zh-CN"/>
        </w:rPr>
        <w:t>6</w:t>
      </w:r>
      <w:r>
        <w:rPr>
          <w:rFonts w:hint="default" w:ascii="Times New Roman" w:hAnsi="Times New Roman" w:eastAsia="仿宋_GB2312" w:cs="Times New Roman"/>
          <w:color w:val="auto"/>
          <w:szCs w:val="32"/>
        </w:rPr>
        <w:t>月</w:t>
      </w:r>
      <w:r>
        <w:rPr>
          <w:rFonts w:hint="eastAsia" w:ascii="Times New Roman" w:cs="Times New Roman"/>
          <w:color w:val="auto"/>
          <w:szCs w:val="32"/>
          <w:lang w:val="en-US" w:eastAsia="zh-CN"/>
        </w:rPr>
        <w:t>28</w:t>
      </w:r>
      <w:bookmarkStart w:id="2" w:name="_GoBack"/>
      <w:bookmarkEnd w:id="2"/>
      <w:r>
        <w:rPr>
          <w:rFonts w:hint="default" w:ascii="Times New Roman" w:hAnsi="Times New Roman" w:eastAsia="仿宋_GB2312" w:cs="Times New Roman"/>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5"/>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ZTU2N2M0YmZlOTJhYzVjNzZkYzBkOTkxMDVkYzE3YWIifQ=="/>
  </w:docVars>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54F2"/>
    <w:rsid w:val="00FF7CF7"/>
    <w:rsid w:val="02EC2A1F"/>
    <w:rsid w:val="03D0075A"/>
    <w:rsid w:val="060058D9"/>
    <w:rsid w:val="06A8246B"/>
    <w:rsid w:val="076B4F50"/>
    <w:rsid w:val="0A050A0A"/>
    <w:rsid w:val="105D2635"/>
    <w:rsid w:val="10801B04"/>
    <w:rsid w:val="13867A9F"/>
    <w:rsid w:val="145B04CE"/>
    <w:rsid w:val="14C702EB"/>
    <w:rsid w:val="157435CA"/>
    <w:rsid w:val="15956862"/>
    <w:rsid w:val="17646D55"/>
    <w:rsid w:val="17861AEB"/>
    <w:rsid w:val="185C25B1"/>
    <w:rsid w:val="1AB322F0"/>
    <w:rsid w:val="1F351FAF"/>
    <w:rsid w:val="1F86792F"/>
    <w:rsid w:val="1FF746DA"/>
    <w:rsid w:val="20772D49"/>
    <w:rsid w:val="20B024A1"/>
    <w:rsid w:val="25205CF8"/>
    <w:rsid w:val="25E129FE"/>
    <w:rsid w:val="29535BBE"/>
    <w:rsid w:val="2BD42381"/>
    <w:rsid w:val="2CED06D8"/>
    <w:rsid w:val="2E9F243D"/>
    <w:rsid w:val="2EE17814"/>
    <w:rsid w:val="2FEF7D77"/>
    <w:rsid w:val="31417311"/>
    <w:rsid w:val="3566232B"/>
    <w:rsid w:val="39DD2AC7"/>
    <w:rsid w:val="3A314ED2"/>
    <w:rsid w:val="3A7D040E"/>
    <w:rsid w:val="3B0E44F4"/>
    <w:rsid w:val="3B7FC157"/>
    <w:rsid w:val="3D15067F"/>
    <w:rsid w:val="3DB14890"/>
    <w:rsid w:val="3E8C3A26"/>
    <w:rsid w:val="3F5FF36E"/>
    <w:rsid w:val="3F73645C"/>
    <w:rsid w:val="3FB73CFF"/>
    <w:rsid w:val="3FFF14EC"/>
    <w:rsid w:val="412A0477"/>
    <w:rsid w:val="42041D48"/>
    <w:rsid w:val="42836080"/>
    <w:rsid w:val="45D07A7B"/>
    <w:rsid w:val="45FB48A4"/>
    <w:rsid w:val="47F4388A"/>
    <w:rsid w:val="48DB5365"/>
    <w:rsid w:val="48E2729B"/>
    <w:rsid w:val="4BDF7549"/>
    <w:rsid w:val="4DF37842"/>
    <w:rsid w:val="4E8015C3"/>
    <w:rsid w:val="4F46621E"/>
    <w:rsid w:val="4FEDCE04"/>
    <w:rsid w:val="53417DE8"/>
    <w:rsid w:val="537D4D10"/>
    <w:rsid w:val="545D6861"/>
    <w:rsid w:val="551E49A7"/>
    <w:rsid w:val="565C1810"/>
    <w:rsid w:val="58805E0B"/>
    <w:rsid w:val="58E542B1"/>
    <w:rsid w:val="59FFFD36"/>
    <w:rsid w:val="5A100A69"/>
    <w:rsid w:val="5AC66E6D"/>
    <w:rsid w:val="5C2F2B85"/>
    <w:rsid w:val="5C8143B3"/>
    <w:rsid w:val="5C99BAAC"/>
    <w:rsid w:val="5CCEE906"/>
    <w:rsid w:val="5D711BC1"/>
    <w:rsid w:val="5DC00719"/>
    <w:rsid w:val="5E6370DC"/>
    <w:rsid w:val="5E7210B7"/>
    <w:rsid w:val="5EBE1F44"/>
    <w:rsid w:val="5EF61BEE"/>
    <w:rsid w:val="5FFCDEF8"/>
    <w:rsid w:val="5FFE5D64"/>
    <w:rsid w:val="61E31F82"/>
    <w:rsid w:val="623173B1"/>
    <w:rsid w:val="627AADA0"/>
    <w:rsid w:val="64B6114A"/>
    <w:rsid w:val="654D6D68"/>
    <w:rsid w:val="67835892"/>
    <w:rsid w:val="69021880"/>
    <w:rsid w:val="69287FF9"/>
    <w:rsid w:val="69BA7FBC"/>
    <w:rsid w:val="69EF4473"/>
    <w:rsid w:val="69F5315F"/>
    <w:rsid w:val="6A778DB9"/>
    <w:rsid w:val="6C5E3ED7"/>
    <w:rsid w:val="6D601559"/>
    <w:rsid w:val="6DC95D5B"/>
    <w:rsid w:val="6F4A2587"/>
    <w:rsid w:val="6F565F34"/>
    <w:rsid w:val="6F817756"/>
    <w:rsid w:val="6FBBBABD"/>
    <w:rsid w:val="706C57A0"/>
    <w:rsid w:val="70856287"/>
    <w:rsid w:val="71BFAB18"/>
    <w:rsid w:val="71CC5BD1"/>
    <w:rsid w:val="735B762D"/>
    <w:rsid w:val="73FF559C"/>
    <w:rsid w:val="73FF5AE4"/>
    <w:rsid w:val="75BE6923"/>
    <w:rsid w:val="75DE796D"/>
    <w:rsid w:val="761B3A3C"/>
    <w:rsid w:val="772C6592"/>
    <w:rsid w:val="7BF7CC0B"/>
    <w:rsid w:val="7BFD8D70"/>
    <w:rsid w:val="7C614DBC"/>
    <w:rsid w:val="7CED3003"/>
    <w:rsid w:val="7CFE5411"/>
    <w:rsid w:val="7DC16531"/>
    <w:rsid w:val="7DFD2408"/>
    <w:rsid w:val="7E216D95"/>
    <w:rsid w:val="7F3C7C26"/>
    <w:rsid w:val="7FAFA16A"/>
    <w:rsid w:val="7FFD452B"/>
    <w:rsid w:val="ADAD7FA1"/>
    <w:rsid w:val="AFFF219C"/>
    <w:rsid w:val="B6F5B665"/>
    <w:rsid w:val="B7DB20F6"/>
    <w:rsid w:val="BD3B2D74"/>
    <w:rsid w:val="BEE466A8"/>
    <w:rsid w:val="C77BCFBB"/>
    <w:rsid w:val="CDDBF24C"/>
    <w:rsid w:val="D7BBABC2"/>
    <w:rsid w:val="DD7C8DA1"/>
    <w:rsid w:val="EF9DD4E3"/>
    <w:rsid w:val="F33752BE"/>
    <w:rsid w:val="F9D441FD"/>
    <w:rsid w:val="FAFE31B2"/>
    <w:rsid w:val="FBBFE06A"/>
    <w:rsid w:val="FD9FE1A1"/>
    <w:rsid w:val="FED7EB8E"/>
    <w:rsid w:val="FFF715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32"/>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line="500" w:lineRule="exact"/>
    </w:pPr>
    <w:rPr>
      <w:sz w:val="3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6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unhideWhenUsed/>
    <w:qFormat/>
    <w:uiPriority w:val="0"/>
    <w:pPr>
      <w:spacing w:beforeAutospacing="1" w:afterAutospacing="1"/>
      <w:jc w:val="left"/>
    </w:pPr>
    <w:rPr>
      <w:sz w:val="24"/>
    </w:r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Char"/>
    <w:basedOn w:val="1"/>
    <w:qFormat/>
    <w:uiPriority w:val="0"/>
  </w:style>
  <w:style w:type="paragraph" w:customStyle="1" w:styleId="18">
    <w:name w:val="_Style 3"/>
    <w:basedOn w:val="1"/>
    <w:qFormat/>
    <w:uiPriority w:val="0"/>
  </w:style>
  <w:style w:type="paragraph" w:customStyle="1" w:styleId="19">
    <w:name w:val="Char Char"/>
    <w:basedOn w:val="1"/>
    <w:qFormat/>
    <w:uiPriority w:val="0"/>
    <w:rPr>
      <w:rFonts w:ascii="Times New Roman" w:eastAsia="宋体"/>
      <w:color w:val="auto"/>
      <w:kern w:val="2"/>
      <w:sz w:val="21"/>
      <w:szCs w:val="24"/>
    </w:rPr>
  </w:style>
  <w:style w:type="paragraph" w:customStyle="1" w:styleId="20">
    <w:name w:val="Char Char8"/>
    <w:basedOn w:val="1"/>
    <w:qFormat/>
    <w:uiPriority w:val="0"/>
    <w:rPr>
      <w:rFonts w:ascii="Times New Roman" w:eastAsia="宋体"/>
      <w:color w:val="auto"/>
      <w:kern w:val="2"/>
      <w:sz w:val="21"/>
      <w:szCs w:val="24"/>
    </w:rPr>
  </w:style>
  <w:style w:type="paragraph" w:customStyle="1" w:styleId="21">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dfdf</Company>
  <Pages>16</Pages>
  <Words>5718</Words>
  <Characters>6055</Characters>
  <Lines>45</Lines>
  <Paragraphs>12</Paragraphs>
  <TotalTime>25</TotalTime>
  <ScaleCrop>false</ScaleCrop>
  <LinksUpToDate>false</LinksUpToDate>
  <CharactersWithSpaces>6059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2019-12-16T23:04:00Z</dcterms:created>
  <dc:creator>未羽</dc:creator>
  <cp:lastModifiedBy>市资源规划局</cp:lastModifiedBy>
  <cp:lastPrinted>2025-06-27T15:07:00Z</cp:lastPrinted>
  <dcterms:modified xsi:type="dcterms:W3CDTF">2025-06-27T16:35:08Z</dcterms:modified>
  <dc:title>国有建设用地使用权拍卖出让须知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147DB053FB7B4A7CAC58A0FE60B8BF0F</vt:lpwstr>
  </property>
</Properties>
</file>